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6B1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right="144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2022年城市管理工作计划</w:t>
      </w:r>
    </w:p>
    <w:bookmarkEnd w:id="0"/>
    <w:p w14:paraId="63BE3C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left="144" w:right="144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 w14:paraId="3B8A63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left="144" w:right="144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着力推进体制机制创新优化。充分发挥区城管委统揽全局、协调各方的作用，不断完善横向协同、纵向联动的综合管理体系。优化考核评价机制，依托“红黑榜”，建立重点工作“月度通报制度”，完善考评激励机制。定期开展“随手拍”等活动，奖励建言献策的“城市啄木鸟”，引导全社会广泛参与，形成群管群治的良好格局。建立显见市容问题快速处置机制，针对道板违停、占道经营、无证设摊等显见市容问题，实现5分钟发现问题，日常问题30分钟内处置到位，重大问题1小时内处置到位，特大问题24小时内处置到位，进一步提升处置效率。实施“联勤联动”工作机制，建立城管、交警、环卫、市政、绿化、城市保安、社区、“三乱”保洁员“八位一体”联动管理机制，落实“在岗履职+问题上报”，形成问题快速处置闭环，提高问题发现率和处置率。加快“智慧城管”平台建设，启动“智慧城管”硬件扩容项目，拓展“智慧城管”应用项目和应用场景，挖掘平台分析决策功能，做好区-镇（街道）-社区三级指挥调度系统，不断提高城市管理“技防”比例，实现城市管理足不出户观全域。</w:t>
      </w:r>
    </w:p>
    <w:p w14:paraId="518491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left="144" w:right="144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着力推进改造类项目提质。常态化开展背街小巷环境综合整治，有重点地选择一批基础设施较差的背街小巷实施改造出新，完成7条特色街、精品街培育及改造提升，畅通城市“毛细血管”，建设一批精品道路、示范道路。更新一批城市家具，新改建、优化提升公共空间休憩座椅350处。实施道路景观综合品质提升工程，围绕市政设施、绿化设施、环卫设施等城市家具进行更新更换，实施下凹式绿地、透水铺装、雨水花园、可渗植草沟等海绵设施建设，加装智慧交通、井盖、路灯等智慧项目，打造全市城市家具标杆示范区。塑造一片独特城市空间，新增36公顷绿地面积，改造提升7条城市道路绿化景观，开展15处小游园新改建，建设5公里绿道、600平方米屋顶绿化，不断丰富立体绿化形式，提高城镇公共绿地覆盖率，逐步改善道路形象品位、整体景观。</w:t>
      </w:r>
    </w:p>
    <w:p w14:paraId="4984BB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left="144" w:right="144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着力推进示范创建类项目提效。加快打造停车秩序示范区域，创建10条（个）停车秩序示范道路或示范区域，新改建7个大型车辆专用停车场，新增1050个公共停车泊位，新增30条非机动车停车管理示范道路，扩大全区错时停车、分时停车范围，全面盘活停车资源。建立智慧停车管理平台系统，加大对停车收费常态化治理力度。创建20个燃气安全隐患整改示范社区（小区、街），筑牢安全防线。全面实施环卫一体化保洁，按照“一路带两侧，墙到墙、边到边”的保洁标准，实现“一把扫帚扫到底”，打造一批“席地而坐”的洁净区域。</w:t>
      </w:r>
    </w:p>
    <w:p w14:paraId="3A8278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left="144" w:right="144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四）着力推进环卫体系提优。持续开展垃圾分类，生活垃圾“四分类”定时定点小区覆盖率、“互联网+”自动回收设施覆盖率实现100%，生活垃圾分类投放准确率达60%以上。建立居民小区集中收运点，杜绝垃圾二次污染小区环境。加快更新更换垃圾收运车辆、提高新能源车辆占比，招录一批收运人员，完善收运队伍建设，确保垃圾日产日清。持续开展道路深度保洁，深化“三车联动”，提高道路机械化作业频次，实现环境卫生达标提优。持续推进“厕所革命”，实施40座公厕新改建工程，增加便利设施、空调等配置，逐步提高一二类公厕占比，严格落实专人专岗定责管理，不断提升公厕管护水平。</w:t>
      </w:r>
    </w:p>
    <w:p w14:paraId="776F78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4" w:beforeAutospacing="0" w:after="144" w:afterAutospacing="0"/>
        <w:ind w:left="144" w:right="144" w:firstLine="640" w:firstLineChars="20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五）着力推进执法体系建设。提高执法效率，依托“智慧城管”平台，增设智能摄像头和卡口机点位，实现对偷倒建筑垃圾、工程车抛洒滴漏等违法行为的“在线监测、实时报警”，解决动态违法行为取证难、处罚难的问题。创新执法机制，深入推进“城警联动”实体化运作，组建一支15人的专业联动队伍，由区城管局统一管理，围绕黑色路面违停、道板违停、显见性市容问题开展问题巡查、处置。实行“城管物管联动”，加大违建整治、垃圾分类处罚力度。丰富执法方式，探索实施非接触式执法、“非诉执法”、轻微违法“首违免罚”制度等新型执法模式，用好电子送达平台，推广运用智能手持执法终端，鼓励一线执法队员启用新案源。全面扩展未履行市容环卫责任制处罚范围，在沿街商户100%签订的基础上，将全区大型综合体管理方、农贸市场管理方、在建工地管理方、市政绿化环卫养护单位、小区物业公司等责任主体逐步纳入责任范围，建立共建共治共享的良好局面。</w:t>
      </w:r>
    </w:p>
    <w:p w14:paraId="2C445856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616B7"/>
    <w:rsid w:val="2896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2026-07-30T02:14:00Z</dcterms:created>
  <dc:creator>会飞的兔子</dc:creator>
  <cp:lastModifiedBy>会飞的兔子</cp:lastModifiedBy>
  <dcterms:modified xsi:type="dcterms:W3CDTF">2026-07-30T02:16:15Z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A533F21D02884119814693BBB9FCF2D6_11</vt:lpwstr>
  </property>
  <property fmtid="{D5CDD505-2E9C-101B-9397-08002B2CF9AE}" pid="4" name="KSOTemplateDocerSaveRecord">
    <vt:lpwstr>eyJoZGlkIjoiM2QzMDgzZWVkYmM1MDUzZTY3OTNhM2Y1MTNjOTVmNTEiLCJ1c2VySWQiOiIzMTMzNTg3NzAifQ==</vt:lpwstr>
  </property>
</Properties>
</file>