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EA767">
      <w:pPr>
        <w:shd w:val="clear" w:color="auto" w:fill="FFFFFF"/>
        <w:spacing w:before="180" w:after="180" w:line="560" w:lineRule="exact"/>
        <w:rPr>
          <w:rFonts w:ascii="方正小标宋_GBK" w:hAnsi="宋体" w:eastAsia="方正小标宋_GBK" w:cs="宋体"/>
          <w:color w:val="333333"/>
          <w:kern w:val="0"/>
          <w:sz w:val="44"/>
          <w:szCs w:val="44"/>
        </w:rPr>
      </w:pPr>
    </w:p>
    <w:p w14:paraId="5E1355FE">
      <w:pPr>
        <w:shd w:val="clear" w:color="auto" w:fill="FFFFFF"/>
        <w:spacing w:before="180" w:after="180" w:line="560" w:lineRule="exact"/>
        <w:rPr>
          <w:rFonts w:ascii="方正小标宋_GBK" w:hAnsi="宋体" w:eastAsia="方正小标宋_GBK" w:cs="宋体"/>
          <w:color w:val="333333"/>
          <w:kern w:val="0"/>
          <w:sz w:val="44"/>
          <w:szCs w:val="44"/>
        </w:rPr>
      </w:pPr>
    </w:p>
    <w:p w14:paraId="1ED4A1D6">
      <w:pPr>
        <w:shd w:val="clear" w:color="auto" w:fill="FFFFFF"/>
        <w:spacing w:before="180" w:after="180" w:line="560" w:lineRule="exact"/>
        <w:rPr>
          <w:rFonts w:ascii="方正小标宋_GBK" w:hAnsi="宋体" w:eastAsia="方正小标宋_GBK" w:cs="宋体"/>
          <w:color w:val="333333"/>
          <w:kern w:val="0"/>
          <w:sz w:val="44"/>
          <w:szCs w:val="44"/>
        </w:rPr>
      </w:pPr>
    </w:p>
    <w:p w14:paraId="316D6BC6">
      <w:pPr>
        <w:shd w:val="clear" w:color="auto" w:fill="FFFFFF"/>
        <w:spacing w:before="180" w:after="180" w:line="560" w:lineRule="exact"/>
        <w:rPr>
          <w:rFonts w:ascii="方正小标宋_GBK" w:hAnsi="宋体" w:eastAsia="方正小标宋_GBK" w:cs="宋体"/>
          <w:color w:val="333333"/>
          <w:kern w:val="0"/>
          <w:sz w:val="44"/>
          <w:szCs w:val="44"/>
        </w:rPr>
      </w:pPr>
    </w:p>
    <w:p w14:paraId="1D7F3355">
      <w:pPr>
        <w:shd w:val="clear" w:color="auto" w:fill="FFFFFF"/>
        <w:spacing w:before="180" w:after="180" w:line="560" w:lineRule="exact"/>
        <w:jc w:val="center"/>
        <w:rPr>
          <w:rFonts w:hint="eastAsia" w:ascii="方正小标宋_GBK" w:eastAsia="方正小标宋_GBK"/>
          <w:bCs/>
          <w:sz w:val="44"/>
          <w:szCs w:val="44"/>
        </w:rPr>
      </w:pPr>
      <w:r>
        <w:rPr>
          <w:rFonts w:hint="eastAsia" w:ascii="方正小标宋_GBK" w:eastAsia="方正小标宋_GBK"/>
          <w:bCs/>
          <w:sz w:val="44"/>
          <w:szCs w:val="44"/>
        </w:rPr>
        <w:t>关于公布202</w:t>
      </w:r>
      <w:r>
        <w:rPr>
          <w:rFonts w:hint="eastAsia" w:ascii="方正小标宋_GBK" w:eastAsia="方正小标宋_GBK"/>
          <w:bCs/>
          <w:sz w:val="44"/>
          <w:szCs w:val="44"/>
          <w:lang w:val="en-US" w:eastAsia="zh-CN"/>
        </w:rPr>
        <w:t>6</w:t>
      </w:r>
      <w:r>
        <w:rPr>
          <w:rFonts w:hint="eastAsia" w:ascii="方正小标宋_GBK" w:eastAsia="方正小标宋_GBK"/>
          <w:bCs/>
          <w:sz w:val="44"/>
          <w:szCs w:val="44"/>
        </w:rPr>
        <w:t>年</w:t>
      </w:r>
      <w:r>
        <w:rPr>
          <w:rFonts w:hint="eastAsia" w:ascii="方正小标宋_GBK" w:eastAsia="方正小标宋_GBK"/>
          <w:bCs/>
          <w:sz w:val="44"/>
          <w:szCs w:val="44"/>
          <w:lang w:val="en-US" w:eastAsia="zh-CN"/>
        </w:rPr>
        <w:t>一</w:t>
      </w:r>
      <w:r>
        <w:rPr>
          <w:rFonts w:hint="eastAsia" w:ascii="方正小标宋_GBK" w:eastAsia="方正小标宋_GBK"/>
          <w:bCs/>
          <w:sz w:val="44"/>
          <w:szCs w:val="44"/>
        </w:rPr>
        <w:t>季度滨湖区建筑市场   “双随机、一公开”暨建设工程招投标领域   营商环境专项检查情况的通知</w:t>
      </w:r>
    </w:p>
    <w:p w14:paraId="6E65A80A">
      <w:pPr>
        <w:shd w:val="clear" w:color="auto" w:fill="FFFFFF"/>
        <w:spacing w:line="592" w:lineRule="exact"/>
        <w:rPr>
          <w:rFonts w:ascii="方正仿宋_GBK" w:hAnsi="宋体" w:eastAsia="方正仿宋_GBK" w:cs="宋体"/>
          <w:color w:val="333333"/>
          <w:kern w:val="0"/>
          <w:sz w:val="32"/>
          <w:szCs w:val="32"/>
        </w:rPr>
      </w:pPr>
    </w:p>
    <w:p w14:paraId="26C233A3">
      <w:pPr>
        <w:snapToGrid w:val="0"/>
        <w:spacing w:line="560" w:lineRule="exact"/>
        <w:rPr>
          <w:rFonts w:ascii="Times New Roman" w:hAnsi="Times New Roman" w:eastAsia="方正仿宋_GBK"/>
          <w:sz w:val="32"/>
          <w:szCs w:val="32"/>
        </w:rPr>
      </w:pPr>
      <w:r>
        <w:rPr>
          <w:rFonts w:hint="eastAsia" w:ascii="Times New Roman" w:hAnsi="Times New Roman" w:eastAsia="方正仿宋_GBK"/>
          <w:sz w:val="32"/>
          <w:szCs w:val="32"/>
        </w:rPr>
        <w:t>各镇、开发区、街道</w:t>
      </w:r>
      <w:r>
        <w:rPr>
          <w:rFonts w:hint="eastAsia" w:ascii="Times New Roman" w:hAnsi="Times New Roman" w:eastAsia="方正仿宋_GBK"/>
          <w:sz w:val="32"/>
          <w:szCs w:val="32"/>
          <w:lang w:val="en-US" w:eastAsia="zh-CN"/>
        </w:rPr>
        <w:t>建设条线</w:t>
      </w:r>
      <w:r>
        <w:rPr>
          <w:rFonts w:hint="eastAsia" w:ascii="Times New Roman" w:hAnsi="Times New Roman" w:eastAsia="方正仿宋_GBK"/>
          <w:sz w:val="32"/>
          <w:szCs w:val="32"/>
        </w:rPr>
        <w:t>，各有关单位</w:t>
      </w:r>
      <w:r>
        <w:rPr>
          <w:rFonts w:hint="eastAsia" w:ascii="Times New Roman" w:hAnsi="Times New Roman" w:eastAsia="方正仿宋_GBK"/>
          <w:sz w:val="32"/>
          <w:szCs w:val="32"/>
          <w:lang w:val="en-US" w:eastAsia="zh-CN"/>
        </w:rPr>
        <w:t>建设条线</w:t>
      </w:r>
      <w:r>
        <w:rPr>
          <w:rFonts w:hint="eastAsia" w:ascii="Times New Roman" w:hAnsi="Times New Roman" w:eastAsia="方正仿宋_GBK"/>
          <w:sz w:val="32"/>
          <w:szCs w:val="32"/>
        </w:rPr>
        <w:t>：</w:t>
      </w:r>
    </w:p>
    <w:p w14:paraId="0BCCE243">
      <w:pPr>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为进一步规范我区房屋建筑和市政基础设施项目建筑市场行为，优化营商环境，202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11</w:t>
      </w:r>
      <w:r>
        <w:rPr>
          <w:rFonts w:hint="eastAsia" w:ascii="Times New Roman" w:hAnsi="Times New Roman" w:eastAsia="方正仿宋_GBK"/>
          <w:sz w:val="32"/>
          <w:szCs w:val="32"/>
        </w:rPr>
        <w:t>日区住建局按照《关于开展202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年度滨湖区建筑市场“双随机、一公开”暨建设工程招投标领域营商环境专项检查工作的通知》（锡滨住建〔202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号</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的要求，随机抽取检查人员对全区建筑市场暨建设工程招标投标领域营商环境进行检查。现将检查情况通报如下：</w:t>
      </w:r>
    </w:p>
    <w:p w14:paraId="796CFDFF">
      <w:pPr>
        <w:shd w:val="clear" w:color="auto" w:fill="FFFFFF"/>
        <w:spacing w:line="592" w:lineRule="exact"/>
        <w:rPr>
          <w:rFonts w:ascii="方正黑体_GBK" w:hAnsi="宋体" w:eastAsia="方正黑体_GBK" w:cs="宋体"/>
          <w:color w:val="333333"/>
          <w:kern w:val="0"/>
          <w:sz w:val="32"/>
          <w:szCs w:val="32"/>
        </w:rPr>
      </w:pPr>
      <w:r>
        <w:rPr>
          <w:rFonts w:hint="eastAsia" w:ascii="方正仿宋_GBK" w:hAnsi="宋体" w:eastAsia="方正仿宋_GBK" w:cs="宋体"/>
          <w:color w:val="333333"/>
          <w:kern w:val="0"/>
          <w:sz w:val="32"/>
          <w:szCs w:val="32"/>
        </w:rPr>
        <w:t>　　</w:t>
      </w:r>
      <w:r>
        <w:rPr>
          <w:rFonts w:hint="eastAsia" w:ascii="方正黑体_GBK" w:hAnsi="宋体" w:eastAsia="方正黑体_GBK" w:cs="宋体"/>
          <w:color w:val="333333"/>
          <w:kern w:val="0"/>
          <w:sz w:val="32"/>
          <w:szCs w:val="32"/>
        </w:rPr>
        <w:t>一、基本情况</w:t>
      </w:r>
    </w:p>
    <w:p w14:paraId="66ED7BEA">
      <w:pPr>
        <w:shd w:val="clear" w:color="auto" w:fill="FFFFFF"/>
        <w:spacing w:line="592" w:lineRule="exact"/>
        <w:rPr>
          <w:rFonts w:ascii="方正楷体_GBK" w:hAnsi="宋体" w:eastAsia="方正楷体_GBK" w:cs="宋体"/>
          <w:color w:val="333333"/>
          <w:kern w:val="0"/>
          <w:sz w:val="32"/>
          <w:szCs w:val="32"/>
        </w:rPr>
      </w:pPr>
      <w:r>
        <w:rPr>
          <w:rFonts w:hint="eastAsia" w:ascii="方正仿宋_GBK" w:hAnsi="宋体" w:eastAsia="方正仿宋_GBK" w:cs="宋体"/>
          <w:color w:val="333333"/>
          <w:kern w:val="0"/>
          <w:sz w:val="32"/>
          <w:szCs w:val="32"/>
        </w:rPr>
        <w:t>　　</w:t>
      </w:r>
      <w:r>
        <w:rPr>
          <w:rFonts w:hint="eastAsia" w:ascii="方正楷体_GBK" w:hAnsi="宋体" w:eastAsia="方正楷体_GBK" w:cs="宋体"/>
          <w:color w:val="333333"/>
          <w:kern w:val="0"/>
          <w:sz w:val="32"/>
          <w:szCs w:val="32"/>
        </w:rPr>
        <w:t>（一） 检查项目</w:t>
      </w:r>
    </w:p>
    <w:p w14:paraId="47FF9048">
      <w:pPr>
        <w:snapToGrid w:val="0"/>
        <w:spacing w:line="560" w:lineRule="exact"/>
        <w:ind w:firstLine="640" w:firstLineChars="200"/>
        <w:rPr>
          <w:rFonts w:ascii="方正仿宋_GBK" w:hAnsi="仿宋" w:eastAsia="方正仿宋_GBK"/>
          <w:sz w:val="32"/>
          <w:szCs w:val="32"/>
        </w:rPr>
      </w:pPr>
      <w:r>
        <w:rPr>
          <w:rFonts w:hint="eastAsia" w:ascii="Times New Roman" w:hAnsi="Times New Roman" w:eastAsia="方正仿宋_GBK"/>
          <w:sz w:val="32"/>
          <w:szCs w:val="32"/>
        </w:rPr>
        <w:t>依法必须招标项目的招投标各方行为检查，由检查人员从“无锡市建设工程电子招投标监督管理平台”中随机抽取。抽查项目为滨湖区202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日至202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月3</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日在无锡市公共资源交易中心招标标段的25%被查对象。</w:t>
      </w:r>
    </w:p>
    <w:p w14:paraId="0B367805">
      <w:pPr>
        <w:snapToGrid w:val="0"/>
        <w:spacing w:line="560" w:lineRule="exact"/>
        <w:ind w:firstLine="640" w:firstLineChars="200"/>
        <w:rPr>
          <w:rFonts w:hint="eastAsia" w:ascii="Times New Roman" w:hAnsi="Times New Roman" w:eastAsia="方正仿宋_GBK"/>
          <w:sz w:val="32"/>
          <w:szCs w:val="32"/>
        </w:rPr>
      </w:pPr>
      <w:bookmarkStart w:id="0" w:name="_GoBack"/>
      <w:bookmarkEnd w:id="0"/>
      <w:r>
        <w:rPr>
          <w:rFonts w:hint="eastAsia" w:ascii="Times New Roman" w:hAnsi="Times New Roman" w:eastAsia="方正仿宋_GBK"/>
          <w:sz w:val="32"/>
          <w:szCs w:val="32"/>
        </w:rPr>
        <w:t>其他建筑市场行为检查，由检查人员从“无锡市建设工程质量安全监督一体化管理系统”中随机抽取, 检查比例为25%。</w:t>
      </w:r>
    </w:p>
    <w:p w14:paraId="29E4D72F">
      <w:pPr>
        <w:shd w:val="clear" w:color="auto" w:fill="FFFFFF"/>
        <w:spacing w:line="592" w:lineRule="exact"/>
        <w:ind w:firstLine="640" w:firstLineChars="200"/>
        <w:rPr>
          <w:rFonts w:ascii="方正仿宋_GBK" w:hAnsi="宋体" w:eastAsia="方正仿宋_GBK" w:cs="宋体"/>
          <w:color w:val="333333"/>
          <w:kern w:val="0"/>
          <w:sz w:val="32"/>
          <w:szCs w:val="32"/>
        </w:rPr>
      </w:pPr>
      <w:r>
        <w:rPr>
          <w:rFonts w:hint="eastAsia" w:ascii="方正楷体_GBK" w:hAnsi="宋体" w:eastAsia="方正楷体_GBK" w:cs="宋体"/>
          <w:color w:val="333333"/>
          <w:kern w:val="0"/>
          <w:sz w:val="32"/>
          <w:szCs w:val="32"/>
        </w:rPr>
        <w:t>（二） 检查内容</w:t>
      </w:r>
    </w:p>
    <w:p w14:paraId="3EAB43C1">
      <w:pPr>
        <w:snapToGrid w:val="0"/>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检查人员按照相关法律法规，对抽查项目进行了严格检查，主要检查内容包括：</w:t>
      </w:r>
    </w:p>
    <w:p w14:paraId="205DF3DC">
      <w:pPr>
        <w:snapToGrid w:val="0"/>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依法必须招标项目的招投标各方行为主体从业情况；</w:t>
      </w:r>
    </w:p>
    <w:p w14:paraId="2799C79F">
      <w:pPr>
        <w:snapToGrid w:val="0"/>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建筑市场各方行为主体发（承）包情况；</w:t>
      </w:r>
    </w:p>
    <w:p w14:paraId="6D6C6574">
      <w:pPr>
        <w:snapToGrid w:val="0"/>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项目现场主要管理人员到岗履职情况。重点抽查监理单位、施工单位关键岗位人员的到岗履职情况、依法必须招标项目的中标人投标承诺的项目管理机构人员到岗履职情况；</w:t>
      </w:r>
    </w:p>
    <w:p w14:paraId="0868C1BF">
      <w:pPr>
        <w:snapToGrid w:val="0"/>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房屋建筑和市政基础设施工程农民工工资支付与相关制度落实情况。</w:t>
      </w:r>
    </w:p>
    <w:p w14:paraId="6DAD161A">
      <w:pPr>
        <w:snapToGrid w:val="0"/>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lang w:val="en-US" w:eastAsia="zh-CN"/>
        </w:rPr>
        <w:t>重点关注</w:t>
      </w:r>
      <w:r>
        <w:rPr>
          <w:rFonts w:hint="eastAsia" w:ascii="Times New Roman" w:hAnsi="Times New Roman" w:eastAsia="方正仿宋_GBK"/>
          <w:sz w:val="32"/>
          <w:szCs w:val="32"/>
        </w:rPr>
        <w:t>中标候选人（评标结果）公示信息环节，对公示信息中有投标人不良行为（递交无竞争力文件等行为）或违法行为（串通投标、提供与事实不符的承诺材料等行为</w:t>
      </w:r>
      <w:r>
        <w:rPr>
          <w:rFonts w:hint="eastAsia" w:ascii="Times New Roman" w:hAnsi="Times New Roman" w:eastAsia="方正仿宋_GBK"/>
          <w:sz w:val="32"/>
          <w:szCs w:val="32"/>
          <w:lang w:eastAsia="zh-CN"/>
        </w:rPr>
        <w:t>）。</w:t>
      </w:r>
    </w:p>
    <w:p w14:paraId="20ED6944">
      <w:pPr>
        <w:shd w:val="clear" w:color="auto" w:fill="FFFFFF"/>
        <w:spacing w:line="592" w:lineRule="exact"/>
        <w:rPr>
          <w:rFonts w:ascii="方正仿宋_GBK" w:hAnsi="宋体" w:eastAsia="方正仿宋_GBK" w:cs="宋体"/>
          <w:color w:val="333333"/>
          <w:kern w:val="0"/>
          <w:sz w:val="32"/>
          <w:szCs w:val="32"/>
        </w:rPr>
      </w:pPr>
      <w:r>
        <w:rPr>
          <w:rFonts w:hint="eastAsia" w:ascii="方正仿宋_GBK" w:hAnsi="宋体" w:eastAsia="方正仿宋_GBK" w:cs="宋体"/>
          <w:color w:val="333333"/>
          <w:kern w:val="0"/>
          <w:sz w:val="32"/>
          <w:szCs w:val="32"/>
        </w:rPr>
        <w:t>　　</w:t>
      </w:r>
      <w:r>
        <w:rPr>
          <w:rFonts w:hint="eastAsia" w:ascii="方正黑体_GBK" w:hAnsi="宋体" w:eastAsia="方正黑体_GBK" w:cs="宋体"/>
          <w:color w:val="333333"/>
          <w:kern w:val="0"/>
          <w:sz w:val="32"/>
          <w:szCs w:val="32"/>
        </w:rPr>
        <w:t>二、存在问题</w:t>
      </w:r>
    </w:p>
    <w:p w14:paraId="07FB2AEC">
      <w:pPr>
        <w:shd w:val="clear" w:color="auto" w:fill="FFFFFF"/>
        <w:spacing w:line="592" w:lineRule="exact"/>
        <w:rPr>
          <w:rFonts w:ascii="方正仿宋_GBK" w:hAnsi="宋体" w:eastAsia="方正仿宋_GBK" w:cs="宋体"/>
          <w:color w:val="333333"/>
          <w:kern w:val="0"/>
          <w:sz w:val="32"/>
          <w:szCs w:val="32"/>
        </w:rPr>
      </w:pPr>
      <w:r>
        <w:rPr>
          <w:rFonts w:hint="eastAsia" w:ascii="方正仿宋_GBK" w:hAnsi="宋体" w:eastAsia="方正仿宋_GBK" w:cs="宋体"/>
          <w:color w:val="333333"/>
          <w:kern w:val="0"/>
          <w:sz w:val="32"/>
          <w:szCs w:val="32"/>
        </w:rPr>
        <w:t>　　</w:t>
      </w:r>
      <w:r>
        <w:rPr>
          <w:rFonts w:hint="eastAsia" w:ascii="方正楷体_GBK" w:hAnsi="宋体" w:eastAsia="方正楷体_GBK" w:cs="宋体"/>
          <w:color w:val="333333"/>
          <w:kern w:val="0"/>
          <w:sz w:val="32"/>
          <w:szCs w:val="32"/>
        </w:rPr>
        <w:t>（一）依法必须招标项目的招投标各方行为检查</w:t>
      </w:r>
    </w:p>
    <w:p w14:paraId="4548832C">
      <w:pPr>
        <w:snapToGrid w:val="0"/>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从检查的总体情况来看，各招标人、招标代理机构基本能够贯彻落实招标投标相关政策法规精神，但是部分被检项目招标人、招标代理机构的市场行为还存在诸多问题：</w:t>
      </w:r>
    </w:p>
    <w:p w14:paraId="42199143">
      <w:pPr>
        <w:numPr>
          <w:ilvl w:val="0"/>
          <w:numId w:val="1"/>
        </w:numPr>
        <w:snapToGrid w:val="0"/>
        <w:spacing w:line="560"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实际代理工作结束时间晚于委托代理协议内代理结束时间；</w:t>
      </w:r>
    </w:p>
    <w:p w14:paraId="74213F4D">
      <w:pPr>
        <w:numPr>
          <w:ilvl w:val="0"/>
          <w:numId w:val="1"/>
        </w:numPr>
        <w:snapToGrid w:val="0"/>
        <w:spacing w:line="560"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评标专家抽取表未签字；</w:t>
      </w:r>
    </w:p>
    <w:p w14:paraId="7A45D46A">
      <w:pPr>
        <w:numPr>
          <w:ilvl w:val="0"/>
          <w:numId w:val="1"/>
        </w:numPr>
        <w:snapToGrid w:val="0"/>
        <w:spacing w:line="560" w:lineRule="exact"/>
        <w:ind w:firstLine="640" w:firstLineChars="200"/>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招标文件合同条款支付担保形式未明确。</w:t>
      </w:r>
    </w:p>
    <w:p w14:paraId="494AE576">
      <w:pPr>
        <w:snapToGrid w:val="0"/>
        <w:spacing w:line="56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（二）其他建筑市场行为检查</w:t>
      </w:r>
    </w:p>
    <w:p w14:paraId="237AE380">
      <w:pPr>
        <w:snapToGrid w:val="0"/>
        <w:spacing w:line="56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主要检查工程前期的基础性资料，包括：合同备案及施工许可手续、管理人员备案资料、保证金资料、工程款支付担保、清偿欠薪协议及专用账户资料，大部分项目基本齐全，但也存在个别项目缺项漏项的问题，存在的问题如下：</w:t>
      </w:r>
    </w:p>
    <w:p w14:paraId="0643C7B9">
      <w:pPr>
        <w:snapToGrid w:val="0"/>
        <w:spacing w:line="56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1、监理单位、建设单位按月核查保障农民工工资支付记录未见；</w:t>
      </w:r>
    </w:p>
    <w:p w14:paraId="224507FE">
      <w:pPr>
        <w:snapToGrid w:val="0"/>
        <w:spacing w:line="56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2、3月农民工工资台账未见；</w:t>
      </w:r>
    </w:p>
    <w:p w14:paraId="03F7C9AC">
      <w:pPr>
        <w:snapToGrid w:val="0"/>
        <w:spacing w:line="56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3、农民工劳动合同约定的工资与实际发放工资金额不符。</w:t>
      </w:r>
    </w:p>
    <w:p w14:paraId="7D8512A1">
      <w:pPr>
        <w:tabs>
          <w:tab w:val="left" w:pos="2100"/>
        </w:tabs>
        <w:snapToGrid w:val="0"/>
        <w:spacing w:line="56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三、处理意见</w:t>
      </w:r>
    </w:p>
    <w:p w14:paraId="18FDF03F">
      <w:pPr>
        <w:tabs>
          <w:tab w:val="left" w:pos="2100"/>
        </w:tabs>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对此次检查存在问题的7家招标代理机构进行通报（具体问题明细详见附件1）。</w:t>
      </w:r>
    </w:p>
    <w:p w14:paraId="199326B4">
      <w:pPr>
        <w:tabs>
          <w:tab w:val="left" w:pos="2100"/>
        </w:tabs>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对于其他建筑市场检查过程中发现的问题，我局责令参建各单位立行立改。对相关问题督促相关单位提升建筑市场行为管理水平。</w:t>
      </w:r>
    </w:p>
    <w:p w14:paraId="1E1B343D">
      <w:pPr>
        <w:shd w:val="clear" w:color="auto" w:fill="FFFFFF"/>
        <w:tabs>
          <w:tab w:val="left" w:pos="2100"/>
        </w:tabs>
        <w:spacing w:line="592" w:lineRule="exact"/>
        <w:rPr>
          <w:rFonts w:ascii="方正仿宋_GBK" w:hAnsi="仿宋" w:eastAsia="方正仿宋_GBK"/>
          <w:sz w:val="32"/>
          <w:szCs w:val="32"/>
        </w:rPr>
      </w:pPr>
      <w:r>
        <w:rPr>
          <w:rFonts w:hint="eastAsia" w:ascii="方正仿宋_GBK" w:hAnsi="宋体" w:eastAsia="方正仿宋_GBK" w:cs="宋体"/>
          <w:color w:val="333333"/>
          <w:kern w:val="0"/>
          <w:sz w:val="32"/>
          <w:szCs w:val="32"/>
        </w:rPr>
        <w:t>　</w:t>
      </w:r>
      <w:r>
        <w:rPr>
          <w:rFonts w:hint="eastAsia" w:ascii="方正仿宋_GBK" w:hAnsi="仿宋" w:eastAsia="方正仿宋_GBK"/>
          <w:sz w:val="32"/>
          <w:szCs w:val="32"/>
        </w:rPr>
        <w:t>　四、下一步工作要求</w:t>
      </w:r>
    </w:p>
    <w:p w14:paraId="64BAF0DD">
      <w:pPr>
        <w:tabs>
          <w:tab w:val="left" w:pos="2100"/>
        </w:tabs>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全面开展自查自纠，筑牢合规经营底线。全区建筑市场各方主体要以本次检查问题为警示，举一反三、对标自查，深入剖析问题根源，系统梳理经营管理、项目实施中的薄弱环节，逐项落实整改举措，建立长效管控机制，坚决杜绝同类问题反复发生。</w:t>
      </w:r>
    </w:p>
    <w:p w14:paraId="41682F7F">
      <w:pPr>
        <w:tabs>
          <w:tab w:val="left" w:pos="2100"/>
        </w:tabs>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深化政策法规学习，规范行业执业行为。各招标人、招标代理机构需常态化开展招投标领域法律法规、行业规范及业务知识学习，严守行业职业道德准则，依规依规、公平公正开展招投标各项业务，自觉维护建筑市场良好秩序，共同营造风清气正的招投标行业环境。</w:t>
      </w:r>
    </w:p>
    <w:p w14:paraId="0C5E0F80">
      <w:pPr>
        <w:tabs>
          <w:tab w:val="left" w:pos="2100"/>
        </w:tabs>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压实招标人主体责任，规范招投标全流程管理。各招标人要严格落实《江苏省房屋建筑和市政基础设施工程招标人主体责任清单》各项规定，切实扛起招投标活动首要责任。扎实做好评招投标各环节的全过程管控，严格执行招标人招投标活动负责制，实现招投标全流程规范化、制度化管理。</w:t>
      </w:r>
    </w:p>
    <w:p w14:paraId="70799F03">
      <w:pPr>
        <w:tabs>
          <w:tab w:val="left" w:pos="2100"/>
        </w:tabs>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强化常态化监管赋能，助推行业高质量发展。我局将紧扣优化营商环境工作部署，持续强化建筑市场事中事后全链条监管，健全常态化监管、常态化整治工作机制，严厉整治各类市场违规行为，持续构建公平竞争、公正有序的建筑市场营商环境，全力推动全区建筑业高质量、规范化可持续发展。</w:t>
      </w:r>
    </w:p>
    <w:p w14:paraId="138F88ED">
      <w:pPr>
        <w:snapToGrid w:val="0"/>
        <w:spacing w:line="560" w:lineRule="exact"/>
        <w:ind w:firstLine="640" w:firstLineChars="200"/>
        <w:rPr>
          <w:rFonts w:hint="eastAsia" w:ascii="方正仿宋_GBK" w:hAnsi="仿宋" w:eastAsia="方正仿宋_GBK"/>
          <w:sz w:val="32"/>
          <w:szCs w:val="32"/>
        </w:rPr>
      </w:pPr>
    </w:p>
    <w:p w14:paraId="5CC5C985">
      <w:pPr>
        <w:snapToGrid w:val="0"/>
        <w:spacing w:line="56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附件：1.2026年一季度滨湖区建设工程招标投标“双随机”检查问题汇总表</w:t>
      </w:r>
    </w:p>
    <w:p w14:paraId="352970DC">
      <w:pPr>
        <w:snapToGrid w:val="0"/>
        <w:spacing w:line="560" w:lineRule="exact"/>
        <w:ind w:firstLine="1600" w:firstLineChars="5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 xml:space="preserve">2.2026年一季度滨湖区建设工程其他建筑市场行为检查情况汇报表　　                 </w:t>
      </w:r>
    </w:p>
    <w:p w14:paraId="1CAEF565">
      <w:pPr>
        <w:snapToGrid w:val="0"/>
        <w:spacing w:line="560" w:lineRule="exact"/>
        <w:jc w:val="both"/>
        <w:rPr>
          <w:rFonts w:hint="eastAsia" w:ascii="方正仿宋_GBK" w:hAnsi="仿宋" w:eastAsia="方正仿宋_GBK"/>
          <w:sz w:val="32"/>
          <w:szCs w:val="32"/>
        </w:rPr>
      </w:pPr>
    </w:p>
    <w:p w14:paraId="617B286C">
      <w:pPr>
        <w:snapToGrid w:val="0"/>
        <w:spacing w:line="560" w:lineRule="exact"/>
        <w:ind w:firstLine="640" w:firstLineChars="200"/>
        <w:jc w:val="right"/>
        <w:rPr>
          <w:rFonts w:ascii="方正仿宋_GBK" w:hAnsi="仿宋" w:eastAsia="方正仿宋_GBK"/>
          <w:sz w:val="32"/>
          <w:szCs w:val="32"/>
        </w:rPr>
      </w:pPr>
      <w:r>
        <w:rPr>
          <w:rFonts w:hint="eastAsia" w:ascii="方正仿宋_GBK" w:hAnsi="仿宋" w:eastAsia="方正仿宋_GBK"/>
          <w:sz w:val="32"/>
          <w:szCs w:val="32"/>
        </w:rPr>
        <w:t>无锡市滨湖区住房和城乡建设局</w:t>
      </w:r>
    </w:p>
    <w:p w14:paraId="05383506">
      <w:pPr>
        <w:snapToGrid w:val="0"/>
        <w:spacing w:line="560" w:lineRule="exact"/>
        <w:ind w:firstLine="640" w:firstLineChars="200"/>
        <w:jc w:val="center"/>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 xml:space="preserve">                      2026年6月11日</w:t>
      </w:r>
    </w:p>
    <w:sectPr>
      <w:footerReference r:id="rId3" w:type="default"/>
      <w:footerReference r:id="rId4" w:type="even"/>
      <w:pgSz w:w="11906" w:h="16838"/>
      <w:pgMar w:top="1928" w:right="1474" w:bottom="1758" w:left="1588" w:header="851"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31E50">
    <w:pPr>
      <w:pStyle w:val="3"/>
      <w:ind w:left="252" w:leftChars="120" w:right="210" w:rightChars="100" w:firstLine="7280" w:firstLineChars="2600"/>
      <w:rPr>
        <w:rStyle w:val="8"/>
        <w:rFonts w:ascii="宋体" w:hAnsi="宋体" w:eastAsia="宋体"/>
        <w:sz w:val="28"/>
        <w:szCs w:val="28"/>
      </w:rPr>
    </w:pPr>
    <w:r>
      <w:rPr>
        <w:rStyle w:val="8"/>
        <w:rFonts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PAGE  </w:instrText>
    </w:r>
    <w:r>
      <w:rPr>
        <w:rStyle w:val="8"/>
        <w:rFonts w:ascii="宋体" w:hAnsi="宋体" w:eastAsia="宋体"/>
        <w:sz w:val="28"/>
        <w:szCs w:val="28"/>
      </w:rPr>
      <w:fldChar w:fldCharType="separate"/>
    </w:r>
    <w:r>
      <w:rPr>
        <w:rStyle w:val="8"/>
        <w:rFonts w:ascii="宋体" w:hAnsi="宋体" w:eastAsia="宋体"/>
        <w:sz w:val="28"/>
        <w:szCs w:val="28"/>
      </w:rPr>
      <w:t>3</w:t>
    </w:r>
    <w:r>
      <w:rPr>
        <w:rStyle w:val="8"/>
        <w:rFonts w:ascii="宋体" w:hAnsi="宋体" w:eastAsia="宋体"/>
        <w:sz w:val="28"/>
        <w:szCs w:val="28"/>
      </w:rPr>
      <w:fldChar w:fldCharType="end"/>
    </w:r>
    <w:r>
      <w:rPr>
        <w:rStyle w:val="8"/>
        <w:rFonts w:ascii="宋体" w:hAnsi="宋体" w:eastAsia="宋体"/>
        <w:sz w:val="28"/>
        <w:szCs w:val="28"/>
      </w:rPr>
      <w:t xml:space="preserve"> —</w:t>
    </w:r>
  </w:p>
  <w:p w14:paraId="4C03EBA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0F9A8">
    <w:pPr>
      <w:pStyle w:val="3"/>
      <w:ind w:left="252" w:leftChars="120" w:right="210" w:rightChars="100"/>
      <w:rPr>
        <w:rStyle w:val="8"/>
        <w:rFonts w:ascii="宋体" w:hAnsi="宋体" w:eastAsia="宋体"/>
        <w:sz w:val="28"/>
        <w:szCs w:val="28"/>
      </w:rPr>
    </w:pPr>
    <w:r>
      <w:rPr>
        <w:rStyle w:val="8"/>
        <w:rFonts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PAGE  </w:instrText>
    </w:r>
    <w:r>
      <w:rPr>
        <w:rStyle w:val="8"/>
        <w:rFonts w:ascii="宋体" w:hAnsi="宋体" w:eastAsia="宋体"/>
        <w:sz w:val="28"/>
        <w:szCs w:val="28"/>
      </w:rPr>
      <w:fldChar w:fldCharType="separate"/>
    </w:r>
    <w:r>
      <w:rPr>
        <w:rStyle w:val="8"/>
        <w:rFonts w:ascii="宋体" w:hAnsi="宋体" w:eastAsia="宋体"/>
        <w:sz w:val="28"/>
        <w:szCs w:val="28"/>
      </w:rPr>
      <w:t>4</w:t>
    </w:r>
    <w:r>
      <w:rPr>
        <w:rStyle w:val="8"/>
        <w:rFonts w:ascii="宋体" w:hAnsi="宋体" w:eastAsia="宋体"/>
        <w:sz w:val="28"/>
        <w:szCs w:val="28"/>
      </w:rPr>
      <w:fldChar w:fldCharType="end"/>
    </w:r>
    <w:r>
      <w:rPr>
        <w:rStyle w:val="8"/>
        <w:rFonts w:ascii="宋体" w:hAnsi="宋体" w:eastAsia="宋体"/>
        <w:sz w:val="28"/>
        <w:szCs w:val="28"/>
      </w:rPr>
      <w:t xml:space="preserve"> —</w:t>
    </w:r>
  </w:p>
  <w:p w14:paraId="083F4CA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AD6F99"/>
    <w:multiLevelType w:val="singleLevel"/>
    <w:tmpl w:val="24AD6F9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xZWM4YzQ4OWRhMmYwNzUxMWQ0MGQyYzRjNmYyZGYifQ=="/>
  </w:docVars>
  <w:rsids>
    <w:rsidRoot w:val="00001AD2"/>
    <w:rsid w:val="00001AD2"/>
    <w:rsid w:val="00367448"/>
    <w:rsid w:val="00381023"/>
    <w:rsid w:val="003F40A5"/>
    <w:rsid w:val="00417B9D"/>
    <w:rsid w:val="004371CC"/>
    <w:rsid w:val="00494A26"/>
    <w:rsid w:val="0053286A"/>
    <w:rsid w:val="00563EA1"/>
    <w:rsid w:val="005B02F4"/>
    <w:rsid w:val="005D3193"/>
    <w:rsid w:val="005D3619"/>
    <w:rsid w:val="006D2377"/>
    <w:rsid w:val="006F6A4C"/>
    <w:rsid w:val="007C5768"/>
    <w:rsid w:val="0084650E"/>
    <w:rsid w:val="008B262C"/>
    <w:rsid w:val="00914B34"/>
    <w:rsid w:val="009B2843"/>
    <w:rsid w:val="00A14F1B"/>
    <w:rsid w:val="00B8004D"/>
    <w:rsid w:val="00B823AD"/>
    <w:rsid w:val="00BC65E5"/>
    <w:rsid w:val="00BF616F"/>
    <w:rsid w:val="00CE3107"/>
    <w:rsid w:val="00DD3CB2"/>
    <w:rsid w:val="00E104C1"/>
    <w:rsid w:val="00E960AC"/>
    <w:rsid w:val="012B7068"/>
    <w:rsid w:val="02565FF0"/>
    <w:rsid w:val="03773C2D"/>
    <w:rsid w:val="03B50AB5"/>
    <w:rsid w:val="0BA23811"/>
    <w:rsid w:val="0C6414D2"/>
    <w:rsid w:val="0CCD197A"/>
    <w:rsid w:val="0F2F395C"/>
    <w:rsid w:val="0FD82364"/>
    <w:rsid w:val="10F7223F"/>
    <w:rsid w:val="11D73611"/>
    <w:rsid w:val="129E6EAC"/>
    <w:rsid w:val="133F5002"/>
    <w:rsid w:val="146A21B5"/>
    <w:rsid w:val="19557E2B"/>
    <w:rsid w:val="19CC0E30"/>
    <w:rsid w:val="1A2975D8"/>
    <w:rsid w:val="1C8B649A"/>
    <w:rsid w:val="1D905BC0"/>
    <w:rsid w:val="1F6937EF"/>
    <w:rsid w:val="218138BA"/>
    <w:rsid w:val="218D0B26"/>
    <w:rsid w:val="21C302A8"/>
    <w:rsid w:val="21D81E82"/>
    <w:rsid w:val="222C44B1"/>
    <w:rsid w:val="228821C3"/>
    <w:rsid w:val="239115A4"/>
    <w:rsid w:val="2628108B"/>
    <w:rsid w:val="27B801ED"/>
    <w:rsid w:val="2BC97F03"/>
    <w:rsid w:val="2CE7356C"/>
    <w:rsid w:val="2D594080"/>
    <w:rsid w:val="2F1B39EA"/>
    <w:rsid w:val="304F71B0"/>
    <w:rsid w:val="312F2D7C"/>
    <w:rsid w:val="31905177"/>
    <w:rsid w:val="359D70ED"/>
    <w:rsid w:val="35D51ADB"/>
    <w:rsid w:val="38014EFF"/>
    <w:rsid w:val="38F27BDF"/>
    <w:rsid w:val="3A740EC2"/>
    <w:rsid w:val="3AEA25DD"/>
    <w:rsid w:val="3B161435"/>
    <w:rsid w:val="3D1B1DDA"/>
    <w:rsid w:val="3D730EC5"/>
    <w:rsid w:val="3EFB69DB"/>
    <w:rsid w:val="3F931B91"/>
    <w:rsid w:val="400718BA"/>
    <w:rsid w:val="40DB26E3"/>
    <w:rsid w:val="4264384B"/>
    <w:rsid w:val="42B76458"/>
    <w:rsid w:val="441454E0"/>
    <w:rsid w:val="46695E60"/>
    <w:rsid w:val="486035EE"/>
    <w:rsid w:val="490A253F"/>
    <w:rsid w:val="4A1E2C94"/>
    <w:rsid w:val="4B690DD9"/>
    <w:rsid w:val="4B6C0D50"/>
    <w:rsid w:val="4BFE262E"/>
    <w:rsid w:val="4D1E0CF6"/>
    <w:rsid w:val="4E0B1105"/>
    <w:rsid w:val="4F333BF1"/>
    <w:rsid w:val="520B5239"/>
    <w:rsid w:val="520E71A0"/>
    <w:rsid w:val="52E164B7"/>
    <w:rsid w:val="535809A5"/>
    <w:rsid w:val="56571BD9"/>
    <w:rsid w:val="58561D1A"/>
    <w:rsid w:val="5A237A32"/>
    <w:rsid w:val="5D0049C9"/>
    <w:rsid w:val="5DE55AB0"/>
    <w:rsid w:val="5F4A20AB"/>
    <w:rsid w:val="5FA31EE7"/>
    <w:rsid w:val="62AB58C8"/>
    <w:rsid w:val="62BE3C02"/>
    <w:rsid w:val="696F1F96"/>
    <w:rsid w:val="69D8119A"/>
    <w:rsid w:val="6B0B7C00"/>
    <w:rsid w:val="6B9E2FAC"/>
    <w:rsid w:val="6BA51F2E"/>
    <w:rsid w:val="6EC25301"/>
    <w:rsid w:val="6F253050"/>
    <w:rsid w:val="6F343BCA"/>
    <w:rsid w:val="6FAC0D3C"/>
    <w:rsid w:val="713B72C1"/>
    <w:rsid w:val="717D73CA"/>
    <w:rsid w:val="730E6495"/>
    <w:rsid w:val="765C5EF1"/>
    <w:rsid w:val="7D0B583E"/>
    <w:rsid w:val="7FB32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unhideWhenUsed/>
    <w:qFormat/>
    <w:uiPriority w:val="99"/>
    <w:rPr>
      <w:sz w:val="18"/>
      <w:szCs w:val="18"/>
    </w:rPr>
  </w:style>
  <w:style w:type="paragraph" w:styleId="3">
    <w:name w:val="footer"/>
    <w:basedOn w:val="1"/>
    <w:link w:val="10"/>
    <w:autoRedefine/>
    <w:unhideWhenUsed/>
    <w:qFormat/>
    <w:uiPriority w:val="0"/>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spacing w:beforeAutospacing="1" w:afterAutospacing="1"/>
      <w:jc w:val="left"/>
    </w:pPr>
    <w:rPr>
      <w:rFonts w:cs="Times New Roman"/>
      <w:kern w:val="0"/>
      <w:sz w:val="24"/>
    </w:rPr>
  </w:style>
  <w:style w:type="character" w:styleId="8">
    <w:name w:val="page number"/>
    <w:basedOn w:val="7"/>
    <w:autoRedefine/>
    <w:qFormat/>
    <w:uiPriority w:val="0"/>
  </w:style>
  <w:style w:type="character" w:customStyle="1" w:styleId="9">
    <w:name w:val="页眉 字符"/>
    <w:basedOn w:val="7"/>
    <w:link w:val="4"/>
    <w:autoRedefine/>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1676</Words>
  <Characters>1714</Characters>
  <Lines>10</Lines>
  <Paragraphs>3</Paragraphs>
  <TotalTime>102</TotalTime>
  <ScaleCrop>false</ScaleCrop>
  <LinksUpToDate>false</LinksUpToDate>
  <CharactersWithSpaces>1774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2022-03-16T07:57:00Z</dcterms:created>
  <dc:creator>admin</dc:creator>
  <cp:lastModifiedBy>123</cp:lastModifiedBy>
  <cp:lastPrinted>2026-06-11T05:30:29Z</cp:lastPrinted>
  <dcterms:modified xsi:type="dcterms:W3CDTF">2026-06-11T05:32:12Z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E5B92FDF00CB41228AFD6D9427FE2FC7_13</vt:lpwstr>
  </property>
  <property fmtid="{D5CDD505-2E9C-101B-9397-08002B2CF9AE}" pid="4" name="KSOTemplateDocerSaveRecord">
    <vt:lpwstr>eyJoZGlkIjoiNzExZWM4YzQ4OWRhMmYwNzUxMWQ0MGQyYzRjNmYyZGYiLCJ1c2VySWQiOiI2Njg3NDY3MTMifQ==</vt:lpwstr>
  </property>
</Properties>
</file>