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16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highlight w:val="none"/>
          <w:lang w:val="en-US" w:eastAsia="zh-CN"/>
        </w:rPr>
        <w:t>2025年改革工作总结</w:t>
      </w:r>
    </w:p>
    <w:p w14:paraId="50011A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楷体_GBK" w:cs="方正楷体_GBK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1434B5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，区数据局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深入贯彻落实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区委、区政府中心工作，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围绕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eastAsia="zh-CN"/>
        </w:rPr>
        <w:t>“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数字滨湖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eastAsia="zh-CN"/>
        </w:rPr>
        <w:t>”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建设目标，坚持以改革为动力、以创新求突破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，以更高标准、更实举措、更硬作风全力推动数据工作提质增效、争先进位，为服务滨湖经济社会发展大局提供坚实支撑。</w:t>
      </w:r>
    </w:p>
    <w:p w14:paraId="7F0FE7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黑体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一、下好改革“先手棋”，绘就顶层设计“路线图”</w:t>
      </w:r>
    </w:p>
    <w:p w14:paraId="298C34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科学规划改革路径。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紧扣“数字滨湖”建设目标，加强顶层设计统筹，发放《2025年数字滨湖建设工作提示》，明确全年数字化发展路径。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出台</w:t>
      </w:r>
      <w:r>
        <w:rPr>
          <w:rFonts w:hint="eastAsia" w:ascii="宋体" w:hAnsi="宋体" w:eastAsia="方正仿宋_GBK" w:cs="方正仿宋_GBK"/>
          <w:sz w:val="32"/>
          <w:szCs w:val="32"/>
        </w:rPr>
        <w:t>《滨湖区政务信息化项目管理办法》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进一步厘清</w:t>
      </w:r>
      <w:r>
        <w:rPr>
          <w:rFonts w:hint="eastAsia" w:ascii="宋体" w:hAnsi="宋体" w:eastAsia="方正仿宋_GBK" w:cs="方正仿宋_GBK"/>
          <w:sz w:val="32"/>
          <w:szCs w:val="32"/>
        </w:rPr>
        <w:t>部门职责，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优化</w:t>
      </w:r>
      <w:r>
        <w:rPr>
          <w:rFonts w:hint="eastAsia" w:ascii="宋体" w:hAnsi="宋体" w:eastAsia="方正仿宋_GBK" w:cs="方正仿宋_GBK"/>
          <w:sz w:val="32"/>
          <w:szCs w:val="32"/>
        </w:rPr>
        <w:t>项目全流程管理。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建强数据专业队伍。</w:t>
      </w:r>
      <w:r>
        <w:rPr>
          <w:rFonts w:hint="eastAsia" w:ascii="宋体" w:hAnsi="宋体" w:eastAsia="方正仿宋_GBK" w:cs="方正仿宋_GBK"/>
          <w:sz w:val="32"/>
          <w:szCs w:val="32"/>
        </w:rPr>
        <w:t>推行首席数据官制度，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举办区级</w:t>
      </w:r>
      <w:r>
        <w:rPr>
          <w:rFonts w:hint="eastAsia" w:ascii="宋体" w:hAnsi="宋体" w:eastAsia="方正仿宋_GBK" w:cs="方正仿宋_GBK"/>
          <w:sz w:val="32"/>
          <w:szCs w:val="32"/>
        </w:rPr>
        <w:t>2025年首席数据官培训班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</w:rPr>
        <w:t>构建区、镇（街道）两级首席数据官队伍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K" w:cs="方正仿宋_GBK"/>
          <w:sz w:val="32"/>
          <w:szCs w:val="32"/>
        </w:rPr>
        <w:t>积极探索企业首席数据官制度，召开全市首个“企业首席数据官”分享交流会，吸引江苏采木、九方科技等13家数据领域重点企业参加。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严格项目监督管理。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扎实开展</w:t>
      </w:r>
      <w:r>
        <w:rPr>
          <w:rFonts w:hint="eastAsia" w:ascii="宋体" w:hAnsi="宋体" w:eastAsia="方正仿宋_GBK" w:cs="方正仿宋_GBK"/>
          <w:sz w:val="32"/>
          <w:szCs w:val="32"/>
        </w:rPr>
        <w:t>政务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信息化项目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专项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监督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检查，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shd w:val="clear" w:color="auto" w:fill="FFFFFF"/>
          <w:lang w:val="en-US" w:eastAsia="zh-CN"/>
        </w:rPr>
        <w:t>完成对</w:t>
      </w:r>
      <w:r>
        <w:rPr>
          <w:rFonts w:hint="eastAsia" w:ascii="宋体" w:hAnsi="宋体" w:eastAsia="方正仿宋_GBK" w:cs="方正仿宋_GBK"/>
          <w:kern w:val="0"/>
          <w:sz w:val="32"/>
          <w:szCs w:val="32"/>
          <w:highlight w:val="none"/>
          <w:lang w:bidi="ar"/>
        </w:rPr>
        <w:t>全区37个单位的372个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shd w:val="clear" w:color="auto" w:fill="FFFFFF"/>
        </w:rPr>
        <w:t>项目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shd w:val="clear" w:color="auto" w:fill="FFFFFF"/>
          <w:lang w:val="en-US" w:eastAsia="zh-CN"/>
        </w:rPr>
        <w:t>的全面排查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shd w:val="clear" w:color="auto" w:fill="FFFFFF"/>
        </w:rPr>
        <w:t>。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通过单位自查、定向检查和整改落实相结合的方式，压实整改责任；梳理共性问题及突出风险，按要求反馈至专项监督领导小组。</w:t>
      </w:r>
    </w:p>
    <w:p w14:paraId="4761C5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二、盘活数据“源头水”，释放价值赋能“强价值”</w:t>
      </w:r>
    </w:p>
    <w:p w14:paraId="702E91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夯实数据资源底座。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推进全区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"/>
        </w:rPr>
        <w:t>6.94亿条数据归集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工作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实现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"/>
        </w:rPr>
        <w:t>32个区级部门业务系统的标准化对接，实现政务数据“一源一档、按需调度”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"/>
        </w:rPr>
        <w:t>累计共享高价值数据3.45亿条。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激活要素市场潜能。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大力推进数据要素市场化配置改革，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精准辅导企业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申报可信数据空间试点，3个项目入选市级项目库，其中1个入选省级首批项目库。深入开展数据标注产业调研，推动12个高质量数据集入选市级清单，数量居全市第三。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彰显创新丰硕成果。</w:t>
      </w:r>
      <w:r>
        <w:rPr>
          <w:rFonts w:hint="eastAsia" w:ascii="宋体" w:hAnsi="宋体" w:eastAsia="方正仿宋_GBK" w:cs="方正仿宋_GBK"/>
          <w:color w:val="000000"/>
          <w:kern w:val="0"/>
          <w:sz w:val="32"/>
          <w:szCs w:val="32"/>
          <w:highlight w:val="none"/>
          <w:lang w:val="en-US" w:eastAsia="zh-CN" w:bidi="ar"/>
        </w:rPr>
        <w:t>在第八届数字中国建设峰会上我区有24个优质项目</w:t>
      </w:r>
      <w:r>
        <w:rPr>
          <w:rFonts w:hint="eastAsia" w:ascii="宋体" w:hAnsi="宋体" w:eastAsia="方正仿宋_GBK" w:cs="方正仿宋_GBK"/>
          <w:sz w:val="32"/>
          <w:szCs w:val="32"/>
        </w:rPr>
        <w:t>参赛参展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共</w:t>
      </w:r>
      <w:r>
        <w:rPr>
          <w:rFonts w:hint="eastAsia" w:ascii="宋体" w:hAnsi="宋体" w:eastAsia="方正仿宋_GBK" w:cs="方正仿宋_GBK"/>
          <w:color w:val="000000"/>
          <w:kern w:val="0"/>
          <w:sz w:val="32"/>
          <w:szCs w:val="32"/>
          <w:highlight w:val="none"/>
          <w:lang w:val="en-US" w:eastAsia="zh-CN" w:bidi="ar"/>
        </w:rPr>
        <w:t>获11项大奖，参赛及获奖数量均列全市第一；7个项目在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宋体" w:hAnsi="宋体" w:eastAsia="方正仿宋_GBK" w:cs="方正仿宋_GBK"/>
          <w:color w:val="000000"/>
          <w:kern w:val="0"/>
          <w:sz w:val="32"/>
          <w:szCs w:val="32"/>
          <w:highlight w:val="none"/>
          <w:lang w:val="en-US" w:eastAsia="zh-CN" w:bidi="ar"/>
        </w:rPr>
        <w:t>“数据要素×”大赛江苏分赛上获奖；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区数据局、区委组织部联合申报的“数智回流赋能基层人才振兴的协同治理创新项目”获2025年第三届未来数商大会公共数据开放“开元奖”。</w:t>
      </w:r>
    </w:p>
    <w:p w14:paraId="10D8E3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三、打造产业“强引擎”，拓宽经济发展“新赛道”</w:t>
      </w:r>
    </w:p>
    <w:p w14:paraId="04B84A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巩固产业发展基础。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数字经济核心产业营业收入总体保持增长态势，截至2025年10月，全区规模以上数字经济核心产业企业282家，实现营业收入218.61亿元（核减后），产业覆盖面不断拓宽，新兴领域活力增强。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激发引育招商活力。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依托“经济云大脑”平台，按月形成经济分析专报，累计完成靶向招商报告6份、企业深度分析报告206份，提升项目与产业匹配度的科学研判能力。今年来提供有效招商线索71条，落地企业15家，参与推动6个亿元以上重大项目签约，包括无锡市数字新基建有限公司、江苏杺桉物联科技有限公司等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构筑园区载体矩阵。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协力推动建设申威信创产业园一期、汇创算力数据产业园、湖滨路元宇宙文创园等3个特色园区。加快建设夏家边数字科技园等7个园区，申威信创产业园二期等4个园区处于规划阶段，形成“建成一批、建设一批、规划一批”的梯队发展格局，覆盖超算、人工智能、元宇宙、信创、卫星载荷等多个前沿领域。</w:t>
      </w:r>
    </w:p>
    <w:p w14:paraId="5028DD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四、提升服务“软实力”，构建便民惠企“优生态”</w:t>
      </w:r>
    </w:p>
    <w:p w14:paraId="6E0022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便民服务全方面覆盖。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全面推进“高效办成一件事”，加快“基层高频事项一平台办理”，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实现基层高频事项认领率、社区全科服务覆盖率双100%，年万人办件量达120.47。中介超市机构数及交易额居全市前列，</w:t>
      </w:r>
      <w:r>
        <w:rPr>
          <w:rFonts w:hint="eastAsia" w:ascii="宋体" w:hAnsi="宋体" w:eastAsia="方正仿宋_GBK" w:cs="方正仿宋_GBK"/>
          <w:sz w:val="32"/>
          <w:szCs w:val="32"/>
        </w:rPr>
        <w:t>落地国定21件、省定6件“一件事”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“好差评”整改满意率100%。推出政务服务大模型及数字人“滨小智”，有效提升政务服务智能水平。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惠企服务全周期优化。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全面推行市场主体全程电子化登记，覆盖企业全生命周期，联动多部门协同，高效整合涉企“一件事”，加强锡企服务平台运营，建好锡企服务平台滨湖旗舰店，组织推广活动21次，服务惠及企业722家。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审批服务全流程护航。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政府及企业投资项目审批备案数量显著增长，完成各类审批办件1200件。全程跟踪省市区重大项目，累计服务重大项目80次。按时完成蠡湖未来城TOD项目50亿投资项目备案，锡南科技智造、智能制造总部项目等7个项目实现“拿地即开工”“拿地快开工”。</w:t>
      </w:r>
    </w:p>
    <w:p w14:paraId="4BF70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五、织密治理“智慧网”，筑牢城市运行“防护墙”</w:t>
      </w:r>
    </w:p>
    <w:p w14:paraId="339D17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完善指挥调度体系。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测通覆盖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“市+区+街镇+社区”四级节点的四级点调视频会议系统，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构建“10大主题+15大专题”视频预案体系，制定视频预案90余个，有效支撑防汛防台、重大活动等应用场景。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提升热线响应办理质效。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2025年截至目前办理12345热线工单5.4万件，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省市工单按期办结率位列全市板块第一。牵头办好“作风面对面”4场专场活动并协调回复市民网友留言诉求共计99件。召开疑难问题协调会2次，全力破解餐饮油烟扰民等4类执法诉求、商家充值退费等5类消费纠纷无单位承办的“空转”问题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筑牢网络安全防线。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"/>
        </w:rPr>
        <w:t>统筹推进区政府网络提升改造，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按期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"/>
        </w:rPr>
        <w:t>完成零信任等关键设备选型测试与性能验证，积极对接省市级政务外网技术标准，有效推动市区两级网络互联互通。</w:t>
      </w:r>
    </w:p>
    <w:p w14:paraId="3C4D5E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六、亮出监管“组合拳”，营造阳光交易“清风气”</w:t>
      </w:r>
    </w:p>
    <w:p w14:paraId="770247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平台赋能牢监管。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建设区招投标大数据监管平台，深度挖掘分析交易数据，精准识别围标串标、虚假投标、异常报价等违规行为，强化交易数据汇聚与分析能力，实现对市场趋势、主体行为的深度洞察和智能预警。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立规明矩强约束。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协调推进优化滨湖区政府采购、国企（社区）采购进场交易机制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系统梳理采购环节存在的问题与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痛点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，制定并实施《滨湖区采购管理暂行办法》，为全区采购工作规范有序开展提供制度保障。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降本增效优环境。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全面启用省公共资源交易经营主体信息库，推动移动CA数字证书全国互认。部署智能检测系统审查工程建设领域招标文件，率先开展政府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采购跨省远程评标，与杭州萧山区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协作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完成3个超3000万元项目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评标。</w:t>
      </w:r>
    </w:p>
    <w:p w14:paraId="0C7211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ascii="宋体" w:hAnsi="宋体"/>
          <w:sz w:val="24"/>
          <w:szCs w:val="24"/>
        </w:rPr>
      </w:pPr>
    </w:p>
    <w:sectPr>
      <w:footerReference r:id="rId3" w:type="default"/>
      <w:pgSz w:w="11906" w:h="16838"/>
      <w:pgMar w:top="1928" w:right="1474" w:bottom="1757" w:left="1587" w:header="851" w:footer="992" w:gutter="0"/>
      <w:pgNumType w:fmt="decimal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CD1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1A677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A677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mY1MGE1YWY2NDQ1N2FjZTVlNzgxMTE4NWUxNWIifQ=="/>
  </w:docVars>
  <w:rsids>
    <w:rsidRoot w:val="00000000"/>
    <w:rsid w:val="01CD4BB2"/>
    <w:rsid w:val="02E065CC"/>
    <w:rsid w:val="03442D34"/>
    <w:rsid w:val="04053A11"/>
    <w:rsid w:val="05D86C32"/>
    <w:rsid w:val="05F838BC"/>
    <w:rsid w:val="077706A0"/>
    <w:rsid w:val="0A610D5D"/>
    <w:rsid w:val="0E3443D9"/>
    <w:rsid w:val="1139194B"/>
    <w:rsid w:val="195645B9"/>
    <w:rsid w:val="1B5338BA"/>
    <w:rsid w:val="1BDD5E1D"/>
    <w:rsid w:val="1D1D2AB1"/>
    <w:rsid w:val="20100B60"/>
    <w:rsid w:val="23E34C9B"/>
    <w:rsid w:val="25875AFA"/>
    <w:rsid w:val="278A32E4"/>
    <w:rsid w:val="29AC5B2F"/>
    <w:rsid w:val="29B1432C"/>
    <w:rsid w:val="2A277B54"/>
    <w:rsid w:val="2A4C3678"/>
    <w:rsid w:val="2AE46A90"/>
    <w:rsid w:val="2C2220D9"/>
    <w:rsid w:val="2FF87D20"/>
    <w:rsid w:val="337B3ADF"/>
    <w:rsid w:val="33957EBB"/>
    <w:rsid w:val="353510CF"/>
    <w:rsid w:val="358D2CB9"/>
    <w:rsid w:val="37256AF9"/>
    <w:rsid w:val="37DA5F5D"/>
    <w:rsid w:val="381653E1"/>
    <w:rsid w:val="38494CEC"/>
    <w:rsid w:val="3A182F7E"/>
    <w:rsid w:val="3C067321"/>
    <w:rsid w:val="3C9B28BA"/>
    <w:rsid w:val="3D3F6F8E"/>
    <w:rsid w:val="3E1376C1"/>
    <w:rsid w:val="3EA33F90"/>
    <w:rsid w:val="3FBF6165"/>
    <w:rsid w:val="40386B6F"/>
    <w:rsid w:val="4081166C"/>
    <w:rsid w:val="40A750F3"/>
    <w:rsid w:val="40FF07E3"/>
    <w:rsid w:val="4163248D"/>
    <w:rsid w:val="42FA5706"/>
    <w:rsid w:val="441D5B50"/>
    <w:rsid w:val="45E5444B"/>
    <w:rsid w:val="465B64BB"/>
    <w:rsid w:val="474B29D4"/>
    <w:rsid w:val="47BD0009"/>
    <w:rsid w:val="49466A32"/>
    <w:rsid w:val="4A6F2994"/>
    <w:rsid w:val="4B236B0D"/>
    <w:rsid w:val="4B59472F"/>
    <w:rsid w:val="4DA644C0"/>
    <w:rsid w:val="507408A5"/>
    <w:rsid w:val="50D87CCE"/>
    <w:rsid w:val="5224454D"/>
    <w:rsid w:val="52A40814"/>
    <w:rsid w:val="56A17F1A"/>
    <w:rsid w:val="57F56770"/>
    <w:rsid w:val="599E2E37"/>
    <w:rsid w:val="5A201A9E"/>
    <w:rsid w:val="5A337D5C"/>
    <w:rsid w:val="5DC7295C"/>
    <w:rsid w:val="5F0B63C2"/>
    <w:rsid w:val="621E68C3"/>
    <w:rsid w:val="623F53E9"/>
    <w:rsid w:val="64407F45"/>
    <w:rsid w:val="64572560"/>
    <w:rsid w:val="64A16E0B"/>
    <w:rsid w:val="64B11C70"/>
    <w:rsid w:val="65437D2D"/>
    <w:rsid w:val="657B5DDA"/>
    <w:rsid w:val="66990C0E"/>
    <w:rsid w:val="66BF00F7"/>
    <w:rsid w:val="698E07D2"/>
    <w:rsid w:val="6A060074"/>
    <w:rsid w:val="6ABA2440"/>
    <w:rsid w:val="6BAA7419"/>
    <w:rsid w:val="6D9856CA"/>
    <w:rsid w:val="6DC20A4A"/>
    <w:rsid w:val="6FE338AE"/>
    <w:rsid w:val="74E52F34"/>
    <w:rsid w:val="74EC0AA3"/>
    <w:rsid w:val="75844F66"/>
    <w:rsid w:val="75DF5F11"/>
    <w:rsid w:val="78A974D5"/>
    <w:rsid w:val="79D55FA9"/>
    <w:rsid w:val="7A552C46"/>
    <w:rsid w:val="7CD35138"/>
    <w:rsid w:val="7DD94B03"/>
    <w:rsid w:val="7DDB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2237</Words>
  <Characters>2329</Characters>
  <Lines>0</Lines>
  <Paragraphs>0</Paragraphs>
  <TotalTime>18</TotalTime>
  <ScaleCrop>false</ScaleCrop>
  <LinksUpToDate>false</LinksUpToDate>
  <CharactersWithSpaces>2329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2025-11-03T02:54:00Z</dcterms:created>
  <dc:creator>wty</dc:creator>
  <cp:lastModifiedBy>王丹</cp:lastModifiedBy>
  <dcterms:modified xsi:type="dcterms:W3CDTF">2026-06-10T02:09:44Z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D79E9BB00DCE4CBBB081B19368BE2F4E_13</vt:lpwstr>
  </property>
  <property fmtid="{D5CDD505-2E9C-101B-9397-08002B2CF9AE}" pid="4" name="KSOTemplateDocerSaveRecord">
    <vt:lpwstr>eyJoZGlkIjoiMDg5MGMwNzhlOTlhNDZhMGI0ODZmNzgwZjczY2MxOGMiLCJ1c2VySWQiOiIxNjAyMDkxNzA3In0=</vt:lpwstr>
  </property>
</Properties>
</file>