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C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无锡市滨湖区数据局</w:t>
      </w:r>
    </w:p>
    <w:p w14:paraId="42257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年政府信息公开工作年度报告</w:t>
      </w:r>
    </w:p>
    <w:p w14:paraId="2AF93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宋体" w:hAnsi="宋体"/>
        </w:rPr>
      </w:pPr>
    </w:p>
    <w:p w14:paraId="3DAED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一、总体情况</w:t>
      </w:r>
    </w:p>
    <w:p w14:paraId="7AB20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/>
          <w:strike w:val="0"/>
          <w:dstrike w:val="0"/>
          <w:sz w:val="32"/>
          <w:lang w:val="en-US" w:eastAsia="zh-CN"/>
        </w:rPr>
      </w:pPr>
      <w:r>
        <w:rPr>
          <w:rFonts w:hint="eastAsia" w:ascii="宋体" w:hAnsi="宋体"/>
          <w:sz w:val="32"/>
        </w:rPr>
        <w:t>202</w:t>
      </w:r>
      <w:r>
        <w:rPr>
          <w:rFonts w:hint="eastAsia" w:ascii="宋体" w:hAnsi="宋体"/>
          <w:sz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</w:rPr>
        <w:t>年，</w: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>区数据局</w:t>
      </w:r>
      <w:r>
        <w:rPr>
          <w:rFonts w:hint="eastAsia" w:ascii="方正仿宋_GBK" w:hAnsi="方正仿宋_GBK" w:eastAsia="方正仿宋_GBK" w:cs="方正仿宋_GBK"/>
          <w:sz w:val="32"/>
        </w:rPr>
        <w:t>坚持以习近平新时代中国特色社会主义思想为指导，深入学习贯彻党的二十大和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</w:rPr>
        <w:t>二十届三中全会精神，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</w:rPr>
        <w:t>紧紧围绕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区委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区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</w:rPr>
        <w:t>政府政务公开工作要点和有关部署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持续深化“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eastAsia="zh-CN"/>
        </w:rPr>
        <w:t>数字滨湖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”建设，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统筹推进数字经济、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数字社会、数字政府全面发展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，切实</w:t>
      </w:r>
      <w:r>
        <w:rPr>
          <w:rFonts w:hint="eastAsia" w:ascii="方正仿宋_GBK" w:hAnsi="方正仿宋_GBK" w:cs="方正仿宋_GBK"/>
          <w:strike w:val="0"/>
          <w:dstrike w:val="0"/>
          <w:sz w:val="32"/>
          <w:lang w:val="en-US" w:eastAsia="zh-CN"/>
        </w:rPr>
        <w:t>增强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lang w:val="en-US" w:eastAsia="zh-CN"/>
        </w:rPr>
        <w:t>政府信息公开的质量和实效，积极回应社会关切，不断提升企业群众的获得感和满意度。</w:t>
      </w:r>
    </w:p>
    <w:p w14:paraId="2BAD2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0" w:firstLineChars="200"/>
        <w:textAlignment w:val="auto"/>
        <w:rPr>
          <w:rFonts w:hint="eastAsia" w:ascii="宋体" w:hAnsi="宋体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（一）积极推动政府信息主动公开。</w:t>
      </w:r>
      <w:r>
        <w:rPr>
          <w:rFonts w:hint="eastAsia" w:ascii="宋体" w:hAnsi="宋体"/>
          <w:sz w:val="32"/>
          <w:lang w:val="en-US" w:eastAsia="zh-CN"/>
        </w:rPr>
        <w:t>规范建设政府信息公开专栏，及时更新政府信息，完善页面栏目设置，方便广大群众查阅政府信息。全年区数据局共办结各类行政许可事项30611件。</w:t>
      </w:r>
      <w:r>
        <w:rPr>
          <w:rFonts w:hint="eastAsia" w:ascii="宋体" w:hAnsi="宋体"/>
          <w:sz w:val="32"/>
        </w:rPr>
        <w:t>全年在区政府门户网站主动公开政府信息93条，包括业务工作34条、法规文件及解读10条、规划计划15条、重点工作3条、政府采购11条、人事信息3条、财政信息4条、权责及监管信息6条、统计数据及解读2条、重大项目5条。</w:t>
      </w:r>
    </w:p>
    <w:p w14:paraId="30CB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（二）整合优化信息公开平台建设。</w:t>
      </w:r>
      <w:r>
        <w:rPr>
          <w:rFonts w:hint="eastAsia" w:ascii="宋体" w:hAnsi="宋体"/>
          <w:sz w:val="32"/>
          <w:lang w:val="en-US" w:eastAsia="zh-CN"/>
        </w:rPr>
        <w:t>充分发挥平台效能，聚合政务公开资源</w:t>
      </w:r>
      <w:r>
        <w:rPr>
          <w:rFonts w:hint="eastAsia" w:ascii="宋体" w:hAnsi="宋体" w:eastAsia="方正仿宋_GB2312" w:cs="方正仿宋_GB2312"/>
          <w:sz w:val="32"/>
          <w:szCs w:val="32"/>
        </w:rPr>
        <w:t>扎实做好“锡企服务平台”日常运营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宋体" w:hAnsi="宋体"/>
          <w:sz w:val="32"/>
          <w:lang w:eastAsia="zh-CN"/>
        </w:rPr>
        <w:t>2024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年激活企业用户数</w:t>
      </w:r>
      <w:r>
        <w:rPr>
          <w:rFonts w:hint="eastAsia" w:ascii="宋体" w:hAnsi="宋体"/>
          <w:sz w:val="32"/>
          <w:lang w:eastAsia="zh-CN"/>
        </w:rPr>
        <w:t>26292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家，累计激活企业用户数</w:t>
      </w:r>
      <w:r>
        <w:rPr>
          <w:rFonts w:hint="eastAsia" w:ascii="宋体" w:hAnsi="宋体"/>
          <w:sz w:val="32"/>
          <w:lang w:eastAsia="zh-CN"/>
        </w:rPr>
        <w:t>49000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家</w:t>
      </w:r>
      <w:r>
        <w:rPr>
          <w:rFonts w:hint="eastAsia" w:eastAsia="方正仿宋_GB2312" w:cs="方正仿宋_GB2312"/>
          <w:sz w:val="32"/>
          <w:szCs w:val="32"/>
          <w:lang w:eastAsia="zh-CN"/>
        </w:rPr>
        <w:t>。通过个性化定制，精心打造滨湖特色的锡企服务</w:t>
      </w:r>
      <w:r>
        <w:rPr>
          <w:rFonts w:hint="eastAsia" w:eastAsia="方正仿宋_GB2312" w:cs="方正仿宋_GB2312"/>
          <w:sz w:val="32"/>
          <w:szCs w:val="32"/>
          <w:lang w:val="en-US" w:eastAsia="zh-CN"/>
        </w:rPr>
        <w:t>平台滨湖</w:t>
      </w:r>
      <w:r>
        <w:rPr>
          <w:rFonts w:hint="eastAsia" w:eastAsia="方正仿宋_GB2312" w:cs="方正仿宋_GB2312"/>
          <w:sz w:val="32"/>
          <w:szCs w:val="32"/>
          <w:lang w:eastAsia="zh-CN"/>
        </w:rPr>
        <w:t>旗舰店，</w:t>
      </w:r>
      <w:r>
        <w:rPr>
          <w:rFonts w:hint="eastAsia" w:eastAsia="方正仿宋_GB2312" w:cs="方正仿宋_GB2312"/>
          <w:sz w:val="32"/>
          <w:szCs w:val="32"/>
          <w:lang w:val="en-US" w:eastAsia="zh-CN"/>
        </w:rPr>
        <w:t>实现</w:t>
      </w:r>
      <w:r>
        <w:rPr>
          <w:rFonts w:hint="eastAsia" w:ascii="宋体" w:hAnsi="宋体" w:eastAsia="方正仿宋_GB2312" w:cs="方正仿宋_GB2312"/>
          <w:sz w:val="32"/>
          <w:szCs w:val="32"/>
        </w:rPr>
        <w:t>政策归集率、政策解读完成率和常见问题解答配置率</w:t>
      </w:r>
      <w:r>
        <w:rPr>
          <w:rFonts w:hint="eastAsia" w:ascii="宋体" w:hAnsi="宋体"/>
          <w:sz w:val="32"/>
        </w:rPr>
        <w:t>100%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推进高频事项一平台建设，全区7个镇（街道）已完成全部37项事项的认领、编制、扩展信息维护等工作，高频业务网上认领率达95.56%，实现全科政务服务覆盖率100%。</w:t>
      </w:r>
      <w:r>
        <w:rPr>
          <w:rFonts w:hint="eastAsia" w:ascii="宋体" w:hAnsi="宋体" w:eastAsia="方正仿宋_GB2312" w:cs="方正仿宋_GB2312"/>
          <w:sz w:val="32"/>
          <w:szCs w:val="32"/>
        </w:rPr>
        <w:t>加速推进网上中介超市，全</w:t>
      </w:r>
      <w:r>
        <w:rPr>
          <w:rFonts w:hint="eastAsia" w:eastAsia="方正仿宋_GB2312" w:cs="方正仿宋_GB2312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方正仿宋_GB2312" w:cs="方正仿宋_GB2312"/>
          <w:sz w:val="32"/>
          <w:szCs w:val="32"/>
        </w:rPr>
        <w:t>共入驻中介服务机构</w:t>
      </w:r>
      <w:r>
        <w:rPr>
          <w:rFonts w:hint="eastAsia" w:eastAsia="方正仿宋_GB2312"/>
          <w:sz w:val="32"/>
          <w:lang w:val="en-US" w:eastAsia="zh-CN"/>
        </w:rPr>
        <w:t>77</w:t>
      </w:r>
      <w:r>
        <w:rPr>
          <w:rFonts w:hint="eastAsia" w:ascii="宋体" w:hAnsi="宋体" w:eastAsia="方正仿宋_GB2312" w:cs="方正仿宋_GB2312"/>
          <w:sz w:val="32"/>
          <w:szCs w:val="32"/>
        </w:rPr>
        <w:t>家，发布采购公告</w:t>
      </w:r>
      <w:r>
        <w:rPr>
          <w:rFonts w:hint="eastAsia" w:eastAsia="方正仿宋_GB2312"/>
          <w:sz w:val="32"/>
          <w:lang w:val="en-US" w:eastAsia="zh-CN"/>
        </w:rPr>
        <w:t>792</w:t>
      </w:r>
      <w:r>
        <w:rPr>
          <w:rFonts w:hint="eastAsia" w:ascii="宋体" w:hAnsi="宋体" w:eastAsia="方正仿宋_GB2312" w:cs="方正仿宋_GB2312"/>
          <w:sz w:val="32"/>
          <w:szCs w:val="32"/>
        </w:rPr>
        <w:t>条，中选公告</w:t>
      </w:r>
      <w:r>
        <w:rPr>
          <w:rFonts w:hint="eastAsia" w:eastAsia="方正仿宋_GB2312"/>
          <w:sz w:val="32"/>
          <w:lang w:val="en-US" w:eastAsia="zh-CN"/>
        </w:rPr>
        <w:t>767</w:t>
      </w:r>
      <w:r>
        <w:rPr>
          <w:rFonts w:hint="eastAsia" w:ascii="宋体" w:hAnsi="宋体" w:eastAsia="方正仿宋_GB2312" w:cs="方正仿宋_GB2312"/>
          <w:sz w:val="32"/>
          <w:szCs w:val="32"/>
        </w:rPr>
        <w:t>条。</w:t>
      </w:r>
    </w:p>
    <w:p w14:paraId="63113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/>
          <w:sz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（三）严格规范处理依申请公开。</w:t>
      </w:r>
      <w:r>
        <w:rPr>
          <w:rFonts w:hint="eastAsia" w:ascii="宋体" w:hAnsi="宋体"/>
          <w:sz w:val="32"/>
          <w:lang w:val="en-US" w:eastAsia="zh-CN"/>
        </w:rPr>
        <w:t>一是依法依规妥善处理政府信息公开申请。全年收到政府信息公开申请共14件，均已按照《条例》等有关规定答复完毕。其中，按申请人情况分类，14件均为自然人申请；按办结结果情况分类，予以公开的8件，无法提供的5件，剩余1件转下年度办理。二是推动落实行政复议及行政复议决定履行工作。2024年度我局被提起行政复议案件3宗，行政诉讼案件2宗，均及时向复议机构提交行政复议答复书及相关证据材料。</w:t>
      </w:r>
    </w:p>
    <w:p w14:paraId="191BC2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二、主动公开政府信息情况</w:t>
      </w:r>
    </w:p>
    <w:tbl>
      <w:tblPr>
        <w:tblStyle w:val="5"/>
        <w:tblW w:w="8700" w:type="dxa"/>
        <w:jc w:val="center"/>
        <w:shd w:val="solid" w:color="FFFFFF" w:themeColor="background1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2435"/>
        <w:gridCol w:w="2435"/>
        <w:gridCol w:w="1815"/>
      </w:tblGrid>
      <w:tr w14:paraId="7F0BB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76B87B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71112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244A6B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468E02B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7C59589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18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42EAEAE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 w14:paraId="64523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4932F968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4016882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EDDBE7B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E3474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CF81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6368EE1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74C1E030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24BE13B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FBB00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6AEB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5B4D9B4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6201E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ED3985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23BDEB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7730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44C2E3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F5BB22C">
            <w:pPr>
              <w:widowControl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30611</w:t>
            </w:r>
          </w:p>
        </w:tc>
      </w:tr>
      <w:tr w14:paraId="12E83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FF03B8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0A36F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773E32D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78C31B4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13729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B691A4C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8128FC0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C1CF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659EA5C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7B75735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49B1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123FE3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530CA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89B69B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3EAFE61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3AD4B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D803F88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86A0A09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F85F9A3"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/>
        <w:ind w:firstLine="600" w:firstLineChars="200"/>
        <w:jc w:val="both"/>
        <w:rPr>
          <w:rFonts w:hint="eastAsia" w:ascii="方正黑体_GBK" w:hAnsi="方正黑体_GBK" w:eastAsia="方正黑体_GBK" w:cs="方正黑体_GBK"/>
          <w:snapToGrid w:val="0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0"/>
          <w:szCs w:val="30"/>
          <w:lang w:val="en-US" w:eastAsia="zh-CN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 w14:paraId="6EC9F0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4E680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ascii="宋体" w:hAnsi="宋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204CB4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5D7DA4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04379">
            <w:pPr>
              <w:rPr>
                <w:rFonts w:ascii="宋体" w:hAns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5086B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6DCF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910C5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5A0899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70862">
            <w:pPr>
              <w:rPr>
                <w:rFonts w:ascii="宋体" w:hAns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7E68F3">
            <w:pPr>
              <w:rPr>
                <w:rFonts w:ascii="宋体" w:hAnsi="宋体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AEF80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 w14:paraId="294DA46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7CE3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 w14:paraId="7172E6F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ABFC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42FE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205C1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2FF71">
            <w:pPr>
              <w:rPr>
                <w:rFonts w:ascii="宋体" w:hAnsi="宋体"/>
                <w:sz w:val="24"/>
              </w:rPr>
            </w:pPr>
          </w:p>
        </w:tc>
      </w:tr>
      <w:tr w14:paraId="495D52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B59C8A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19A6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03F1E2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C175E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1FE28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A421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C2B70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F48CC9">
            <w:pPr>
              <w:widowControl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</w:tr>
      <w:tr w14:paraId="35B757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1807CC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02196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A7E5B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9FAB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6A0F7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004D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DE502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4DD2B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616E2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F3B9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2B67B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3E73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51064B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B2055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8B11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BA89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F4670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D3DA2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 w14:paraId="0161B1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F25F47">
            <w:pPr>
              <w:rPr>
                <w:rFonts w:ascii="宋体" w:hAns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E633C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宋体" w:hAnsi="宋体" w:eastAsia="楷体" w:cs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0783A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03D4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CEDC3A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8C0C2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ED62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59D4A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4421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11ADD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5A15A8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6D21EA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6E48F2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242EE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AC41F8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A51B22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0BB0A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8D2995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39BAD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48AD252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B709B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4F0D8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FA3AD2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5711A5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FEDCB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7BB352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7E80F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6AD0F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F7A0F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3C98B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23A2C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F64E2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BCF873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C2992A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1B3F7B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5B1772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D2B9B2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505CD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5155B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2EC14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E2EBA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E758F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65892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A807F9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FFFF7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9B5E41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F5190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E39759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47C6FB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D715C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E82D6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C0697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F393EA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52047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716037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D4695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0D136DF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52201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C22CD8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BE784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500E0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122A8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DA9EA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CF0F0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0DF81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4AB480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F2B71A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F5A9B2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64E46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35D89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210B5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1F41D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78E77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6B6E2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EBEB5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A89CF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893A63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670A5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7C5D35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64370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5CAA3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504E20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54BA8A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E95C2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407249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4B7FB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0D513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4A812E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882D16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8787A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472EA4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C1AAE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DEBD33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48231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732A0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0F70E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2817A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CD3B7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8136E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CC9F81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2CA19B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3E0DF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3954F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226CE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EFEFC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0218A1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5409E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775B22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 w14:paraId="736764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23BAC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3439F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9B173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41A31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5C998B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148A1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A6A2B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3F3DA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C2312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EDBD74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C0578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759DD4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F328F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F7CA5F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142C3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AE668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40471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FC21D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4391A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98896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C77F9E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753D7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32CAB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F91BD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715FB95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4A037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B6536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E5572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A5D734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590639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2ABF8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00F8DD">
            <w:pPr>
              <w:widowControl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2EC26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EA0297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6B2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254661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C71A0A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5661C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78C324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F974E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0D8F9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F93158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C51CB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35C6E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9DEB52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49D41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0B5DF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53BBB9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FF448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32BBDA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F4608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7D17C2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65F76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FBB97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E6B00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EE489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BE026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2C768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D77FA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75F8D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77201F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1909C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74005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3A5C29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0A7A0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DE3BF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58595F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D7EE3D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F73AE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CFCE7D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9BC40D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E38A7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16504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AD50A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A8E887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9BEF4C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73C60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9A05E0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EB50B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1537A1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12514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F127EE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1E1D61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7D01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04F21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22B76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7A8E6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B2B69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391B4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9ADD39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C9062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99C1B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0F3C0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6FEB56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5B1D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B2F44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50108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02FD75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7E3A7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17AF6">
            <w:pPr>
              <w:rPr>
                <w:rFonts w:ascii="宋体" w:hAns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0DB3E">
            <w:pPr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CCCF9B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19190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DBCD1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2F378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F179C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2D767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A28467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47321E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E2954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11E08">
            <w:pPr>
              <w:rPr>
                <w:rFonts w:ascii="宋体" w:hAns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B30AB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8EF16B">
            <w:pPr>
              <w:widowControl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5978D3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631A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85F58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8FAAA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447DD1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A608B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 w14:paraId="282853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ABFBC7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5D71D9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2C109A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4578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D89F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43E3D">
            <w:pPr>
              <w:widowControl/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2027C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7D7BAF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</w:tbl>
    <w:p w14:paraId="5220C6C4"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0" w:leftChars="0" w:firstLine="640" w:firstLineChars="200"/>
        <w:jc w:val="both"/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  <w:t>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AD8D1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97E7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8364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5045A3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E9F94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F3A7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FDA9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3044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0C02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B375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9C1D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63F815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A9048">
            <w:pPr>
              <w:rPr>
                <w:rFonts w:ascii="宋体" w:hAns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8E33E">
            <w:pPr>
              <w:rPr>
                <w:rFonts w:ascii="宋体" w:hAns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68C00">
            <w:pPr>
              <w:rPr>
                <w:rFonts w:ascii="宋体" w:hAns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F3CD5">
            <w:pPr>
              <w:rPr>
                <w:rFonts w:ascii="宋体" w:hAns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E0CA8">
            <w:pPr>
              <w:rPr>
                <w:rFonts w:ascii="宋体" w:hAns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78D5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6D68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65F1E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38D6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DDDD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0AD5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6D02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0A2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264C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2933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88CB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D30C7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DE47A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173A6">
            <w:pPr>
              <w:widowControl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3F13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86061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91428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4829E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D4B27">
            <w:pPr>
              <w:widowControl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D63AE">
            <w:pPr>
              <w:widowControl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F75CE">
            <w:pPr>
              <w:widowControl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6EA08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E9817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13BBB">
            <w:pPr>
              <w:widowControl/>
              <w:jc w:val="center"/>
              <w:rPr>
                <w:rFonts w:hint="eastAsia" w:ascii="宋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EC713">
            <w:pPr>
              <w:widowControl/>
              <w:jc w:val="center"/>
              <w:rPr>
                <w:rFonts w:hint="eastAsia" w:ascii="宋体" w:hAnsi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E23D7">
            <w:pPr>
              <w:jc w:val="center"/>
              <w:rPr>
                <w:rFonts w:hint="default" w:ascii="宋体" w:hAnsi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</w:t>
            </w:r>
          </w:p>
        </w:tc>
      </w:tr>
    </w:tbl>
    <w:p w14:paraId="34533D7A">
      <w:pPr>
        <w:pStyle w:val="4"/>
        <w:widowControl/>
        <w:shd w:val="clear" w:color="auto" w:fill="FFFFFF"/>
        <w:spacing w:beforeAutospacing="0" w:afterAutospacing="0"/>
        <w:ind w:firstLine="640" w:firstLineChars="200"/>
        <w:jc w:val="both"/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  <w:t>五、存在的主要问题及改进情况</w:t>
      </w:r>
    </w:p>
    <w:p w14:paraId="0D8C96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 w:val="32"/>
        </w:rPr>
        <w:t>202</w:t>
      </w:r>
      <w:r>
        <w:rPr>
          <w:rFonts w:hint="eastAsia" w:ascii="宋体" w:hAnsi="宋体"/>
          <w:sz w:val="32"/>
          <w:lang w:val="en-US" w:eastAsia="zh-CN"/>
        </w:rPr>
        <w:t>4</w:t>
      </w:r>
      <w:r>
        <w:rPr>
          <w:rFonts w:hint="eastAsia" w:ascii="宋体" w:hAnsi="宋体" w:eastAsia="方正仿宋_GBK" w:cs="方正仿宋_GBK"/>
          <w:sz w:val="32"/>
          <w:szCs w:val="32"/>
        </w:rPr>
        <w:t>年，</w:t>
      </w:r>
      <w:r>
        <w:rPr>
          <w:rFonts w:hint="eastAsia" w:ascii="宋体" w:hAnsi="宋体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我局政务公开工作虽取得一定成效，但仍存在一些薄弱环节，主要表现在：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一是我局网站页面内容公开数量不足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eastAsia="方正仿宋_GBK"/>
          <w:sz w:val="32"/>
          <w:szCs w:val="32"/>
        </w:rPr>
        <w:t>政务公开的广度还不够</w:t>
      </w:r>
      <w:r>
        <w:rPr>
          <w:rFonts w:hint="eastAsia" w:ascii="宋体" w:hAnsi="宋体"/>
          <w:sz w:val="32"/>
          <w:szCs w:val="32"/>
          <w:lang w:eastAsia="zh-CN"/>
        </w:rPr>
        <w:t>；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信息公开综合服务水平还有待提高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，群众诉求办理时效需继续提升。</w:t>
      </w:r>
    </w:p>
    <w:p w14:paraId="5863CB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 w:val="32"/>
          <w:lang w:val="en-US" w:eastAsia="zh-CN"/>
        </w:rPr>
        <w:t>2025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我局将严格落实公开责任制进一步推进政务公开工作，重点推进以下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几个方面的工作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：一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是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结合数字政府改革建设工作重点，研究制定</w:t>
      </w:r>
      <w:r>
        <w:rPr>
          <w:rFonts w:hint="eastAsia" w:ascii="宋体" w:hAnsi="宋体"/>
          <w:sz w:val="32"/>
          <w:lang w:val="en-US" w:eastAsia="zh-CN"/>
        </w:rPr>
        <w:t>2025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年度局政务公开重点任务，督导抓好落实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；二是提高政府信息公开质量，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做到“应公开、尽公开”</w:t>
      </w:r>
      <w:r>
        <w:rPr>
          <w:rFonts w:hint="eastAsia" w:cs="宋体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优化工作流程和方式方法，切实解决好热点难点问题，提高群众满意度；三是</w:t>
      </w:r>
      <w:r>
        <w:rPr>
          <w:rFonts w:hint="eastAsia" w:ascii="方正仿宋_GBK" w:eastAsia="方正仿宋_GBK"/>
          <w:sz w:val="32"/>
          <w:szCs w:val="32"/>
        </w:rPr>
        <w:t>进一步发挥政务服务平台效能</w:t>
      </w:r>
      <w:r>
        <w:rPr>
          <w:rFonts w:hint="eastAsia" w:ascii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宋体"/>
          <w:kern w:val="2"/>
          <w:sz w:val="32"/>
          <w:szCs w:val="32"/>
          <w:lang w:val="en-US" w:eastAsia="zh-CN" w:bidi="ar-SA"/>
        </w:rPr>
        <w:t>优化栏目设置</w:t>
      </w:r>
      <w:r>
        <w:rPr>
          <w:rFonts w:hint="eastAsia" w:cs="宋体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>做好重要政策文件解读，增进公众对经济社会发展政策和改革举措的理解与认同；四是强化人员队伍培训，组织开展政数系统的政务公开、信息报送、信息安全等教育培训工作，提高政务公开业务水平，确保政务信息公开工作要求落到实处</w:t>
      </w:r>
      <w:r>
        <w:rPr>
          <w:rFonts w:hint="eastAsia" w:cs="宋体"/>
          <w:kern w:val="2"/>
          <w:sz w:val="32"/>
          <w:szCs w:val="32"/>
          <w:lang w:val="en-US" w:eastAsia="zh-CN" w:bidi="ar-SA"/>
        </w:rPr>
        <w:t>。</w:t>
      </w:r>
    </w:p>
    <w:p w14:paraId="45DBAF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方正黑体_GBK"/>
          <w:bCs/>
          <w:color w:val="000000"/>
          <w:kern w:val="0"/>
          <w:sz w:val="32"/>
          <w:szCs w:val="32"/>
        </w:rPr>
        <w:t>六、其他需要报告的事项</w:t>
      </w:r>
    </w:p>
    <w:p w14:paraId="4A8C7B61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405" w:firstLine="640" w:firstLineChars="200"/>
        <w:textAlignment w:val="auto"/>
        <w:rPr>
          <w:rFonts w:hint="eastAsia" w:ascii="宋体" w:hAnsi="宋体"/>
          <w:sz w:val="2"/>
          <w:szCs w:val="2"/>
        </w:rPr>
      </w:pPr>
      <w:r>
        <w:rPr>
          <w:rFonts w:hint="eastAsia" w:ascii="宋体" w:hAnsi="宋体" w:eastAsia="方正仿宋_GBK"/>
          <w:sz w:val="32"/>
          <w:szCs w:val="32"/>
        </w:rPr>
        <w:t>本年度未收取信息公开信息处理费。</w:t>
      </w:r>
    </w:p>
    <w:sectPr>
      <w:footerReference r:id="rId3" w:type="default"/>
      <w:pgSz w:w="11906" w:h="16838"/>
      <w:pgMar w:top="1928" w:right="1474" w:bottom="175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1831EA-4F5F-48BB-9930-77A6C32CD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6C9F91-66DD-42D2-BF87-E5BAF3749D8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D8BA5BE-59F3-4C01-B34F-27444A856C1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D80FE06-0F4A-4E4A-8E09-FFAF73222BD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47C0D3F-F94D-4B9C-8F29-2E77A9B42310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7589987-DECE-4A29-A952-EF158D362FD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0943F349-36A2-4E57-95F1-09302516EE2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BB1053F2-0053-415C-8687-97BC40EC42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1EB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0403C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20403C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4641F9"/>
    <w:multiLevelType w:val="singleLevel"/>
    <w:tmpl w:val="B84641F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Mjk5ZmU2MTJiNDA0MzJlYjUwNTI3Zjk0ZjVkMmEifQ=="/>
  </w:docVars>
  <w:rsids>
    <w:rsidRoot w:val="00000000"/>
    <w:rsid w:val="00C91C98"/>
    <w:rsid w:val="02E42DB9"/>
    <w:rsid w:val="03B1713F"/>
    <w:rsid w:val="06C278B5"/>
    <w:rsid w:val="06F51A39"/>
    <w:rsid w:val="07904070"/>
    <w:rsid w:val="0A99092D"/>
    <w:rsid w:val="0B00275A"/>
    <w:rsid w:val="0B024724"/>
    <w:rsid w:val="0BF26547"/>
    <w:rsid w:val="0EAF6971"/>
    <w:rsid w:val="0EFD76DC"/>
    <w:rsid w:val="1236016D"/>
    <w:rsid w:val="145C6C53"/>
    <w:rsid w:val="16AC6C53"/>
    <w:rsid w:val="171A4BA4"/>
    <w:rsid w:val="1763654B"/>
    <w:rsid w:val="191A70DD"/>
    <w:rsid w:val="199D3F96"/>
    <w:rsid w:val="1A02204B"/>
    <w:rsid w:val="1B3E5305"/>
    <w:rsid w:val="1D344C11"/>
    <w:rsid w:val="1DF47EFC"/>
    <w:rsid w:val="1F4B7FF0"/>
    <w:rsid w:val="1FA71066"/>
    <w:rsid w:val="2027068C"/>
    <w:rsid w:val="21E87D78"/>
    <w:rsid w:val="22A068A5"/>
    <w:rsid w:val="2355143D"/>
    <w:rsid w:val="241C01AD"/>
    <w:rsid w:val="254E4396"/>
    <w:rsid w:val="25FF1B34"/>
    <w:rsid w:val="28861EB0"/>
    <w:rsid w:val="28AE795A"/>
    <w:rsid w:val="29543F45"/>
    <w:rsid w:val="2AB32EED"/>
    <w:rsid w:val="2BD61589"/>
    <w:rsid w:val="2D8A6187"/>
    <w:rsid w:val="2EB165E2"/>
    <w:rsid w:val="2F7215C9"/>
    <w:rsid w:val="2FBB6ACC"/>
    <w:rsid w:val="2FF7387C"/>
    <w:rsid w:val="30F0424E"/>
    <w:rsid w:val="31A812D2"/>
    <w:rsid w:val="31E16592"/>
    <w:rsid w:val="338B4A07"/>
    <w:rsid w:val="35DF103A"/>
    <w:rsid w:val="3BAE1BDB"/>
    <w:rsid w:val="3BBD07F6"/>
    <w:rsid w:val="3CF24465"/>
    <w:rsid w:val="3DA70690"/>
    <w:rsid w:val="3E7F160D"/>
    <w:rsid w:val="400022D9"/>
    <w:rsid w:val="41306BEE"/>
    <w:rsid w:val="41523008"/>
    <w:rsid w:val="42892A5A"/>
    <w:rsid w:val="436B215F"/>
    <w:rsid w:val="440305EA"/>
    <w:rsid w:val="440C56F0"/>
    <w:rsid w:val="441F5424"/>
    <w:rsid w:val="44E421C9"/>
    <w:rsid w:val="45715A77"/>
    <w:rsid w:val="46302433"/>
    <w:rsid w:val="47C702AC"/>
    <w:rsid w:val="47E10C42"/>
    <w:rsid w:val="48783354"/>
    <w:rsid w:val="4A730277"/>
    <w:rsid w:val="4BE551A5"/>
    <w:rsid w:val="4DEA6AA2"/>
    <w:rsid w:val="4F6665FD"/>
    <w:rsid w:val="501716A5"/>
    <w:rsid w:val="51840FBC"/>
    <w:rsid w:val="526F3A1A"/>
    <w:rsid w:val="535D7D17"/>
    <w:rsid w:val="5472334E"/>
    <w:rsid w:val="548B440F"/>
    <w:rsid w:val="56876E58"/>
    <w:rsid w:val="5730129E"/>
    <w:rsid w:val="58AB6E2E"/>
    <w:rsid w:val="5A1D6716"/>
    <w:rsid w:val="5DDE3802"/>
    <w:rsid w:val="5E316028"/>
    <w:rsid w:val="5FC92290"/>
    <w:rsid w:val="600D6620"/>
    <w:rsid w:val="604638E0"/>
    <w:rsid w:val="60DD4245"/>
    <w:rsid w:val="625C73EB"/>
    <w:rsid w:val="63D00091"/>
    <w:rsid w:val="6445282D"/>
    <w:rsid w:val="647E189B"/>
    <w:rsid w:val="65AB66C0"/>
    <w:rsid w:val="66300B06"/>
    <w:rsid w:val="68294213"/>
    <w:rsid w:val="69450BD9"/>
    <w:rsid w:val="69FD3E50"/>
    <w:rsid w:val="6A207E9E"/>
    <w:rsid w:val="6BFD579B"/>
    <w:rsid w:val="6CB00A5F"/>
    <w:rsid w:val="6DB56E82"/>
    <w:rsid w:val="6F7B5355"/>
    <w:rsid w:val="718524BB"/>
    <w:rsid w:val="743E4BA3"/>
    <w:rsid w:val="76B178AE"/>
    <w:rsid w:val="776963DA"/>
    <w:rsid w:val="77E51F05"/>
    <w:rsid w:val="7ACE4ED2"/>
    <w:rsid w:val="7AD24297"/>
    <w:rsid w:val="7BC6349E"/>
    <w:rsid w:val="7C15268D"/>
    <w:rsid w:val="7CA57EB5"/>
    <w:rsid w:val="7D1666BD"/>
    <w:rsid w:val="7D4C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宋体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1026</Words>
  <Characters>1078</Characters>
  <Lines>0</Lines>
  <Paragraphs>0</Paragraphs>
  <TotalTime>19</TotalTime>
  <ScaleCrop>false</ScaleCrop>
  <LinksUpToDate>false</LinksUpToDate>
  <CharactersWithSpaces>1078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2024-09-06T03:06:00Z</dcterms:created>
  <dc:creator>BHZHZL</dc:creator>
  <cp:lastModifiedBy>王丹</cp:lastModifiedBy>
  <cp:lastPrinted>2025-01-10T07:04:00Z</cp:lastPrinted>
  <dcterms:modified xsi:type="dcterms:W3CDTF">2026-06-04T01:10:02Z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93628D79F45E428F888A92DD02B20C35_12</vt:lpwstr>
  </property>
  <property fmtid="{D5CDD505-2E9C-101B-9397-08002B2CF9AE}" pid="4" name="KSOTemplateDocerSaveRecord">
    <vt:lpwstr>eyJoZGlkIjoiMDg5MGMwNzhlOTlhNDZhMGI0ODZmNzgwZjczY2MxOGMiLCJ1c2VySWQiOiIxNjAyMDkxNzA3In0=</vt:lpwstr>
  </property>
</Properties>
</file>