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30693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2" w:lineRule="exact"/>
        <w:ind w:left="0" w:leftChars="0" w:firstLine="0" w:firstLineChars="0"/>
        <w:jc w:val="center"/>
        <w:textAlignment w:val="auto"/>
        <w:rPr>
          <w:rFonts w:hint="default" w:ascii="宋体" w:hAnsi="宋体" w:eastAsia="方正小标宋_GBK" w:cs="Times New Roman"/>
          <w:sz w:val="44"/>
          <w:szCs w:val="44"/>
          <w:highlight w:val="none"/>
        </w:rPr>
      </w:pPr>
      <w:r>
        <w:rPr>
          <w:rFonts w:hint="default" w:ascii="宋体" w:hAnsi="宋体" w:eastAsia="方正小标宋_GBK" w:cs="Times New Roman"/>
          <w:sz w:val="44"/>
          <w:szCs w:val="44"/>
          <w:highlight w:val="none"/>
        </w:rPr>
        <w:t>关于无锡市滨湖区</w:t>
      </w:r>
      <w:r>
        <w:rPr>
          <w:rFonts w:hint="default" w:ascii="宋体" w:hAnsi="宋体" w:eastAsia="宋体" w:cs="Times New Roman"/>
          <w:sz w:val="44"/>
          <w:szCs w:val="44"/>
          <w:highlight w:val="none"/>
          <w:lang w:val="en-US" w:eastAsia="zh-CN"/>
        </w:rPr>
        <w:t>2025</w:t>
      </w:r>
      <w:r>
        <w:rPr>
          <w:rFonts w:hint="default" w:ascii="宋体" w:hAnsi="宋体" w:eastAsia="方正小标宋_GBK" w:cs="Times New Roman"/>
          <w:sz w:val="44"/>
          <w:szCs w:val="44"/>
          <w:highlight w:val="none"/>
        </w:rPr>
        <w:t>年国民经济和社会</w:t>
      </w:r>
    </w:p>
    <w:p w14:paraId="22AE0E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2" w:lineRule="exact"/>
        <w:ind w:left="0" w:leftChars="0" w:firstLine="0" w:firstLineChars="0"/>
        <w:jc w:val="center"/>
        <w:textAlignment w:val="auto"/>
        <w:outlineLvl w:val="0"/>
        <w:rPr>
          <w:rFonts w:hint="default" w:ascii="宋体" w:hAnsi="宋体" w:eastAsia="方正小标宋_GBK" w:cs="Times New Roman"/>
          <w:sz w:val="44"/>
          <w:szCs w:val="44"/>
          <w:highlight w:val="none"/>
        </w:rPr>
      </w:pPr>
      <w:r>
        <w:rPr>
          <w:rFonts w:hint="default" w:ascii="宋体" w:hAnsi="宋体" w:eastAsia="方正小标宋_GBK" w:cs="Times New Roman"/>
          <w:sz w:val="44"/>
          <w:szCs w:val="44"/>
          <w:highlight w:val="none"/>
        </w:rPr>
        <w:t>发展计划执行情况与</w:t>
      </w:r>
      <w:r>
        <w:rPr>
          <w:rFonts w:hint="default" w:ascii="宋体" w:hAnsi="宋体" w:eastAsia="宋体" w:cs="Times New Roman"/>
          <w:sz w:val="44"/>
          <w:szCs w:val="44"/>
          <w:highlight w:val="none"/>
        </w:rPr>
        <w:t>202</w:t>
      </w:r>
      <w:r>
        <w:rPr>
          <w:rFonts w:hint="default" w:ascii="宋体" w:hAnsi="宋体" w:eastAsia="宋体" w:cs="Times New Roman"/>
          <w:sz w:val="44"/>
          <w:szCs w:val="44"/>
          <w:highlight w:val="none"/>
          <w:lang w:val="en-US" w:eastAsia="zh-CN"/>
        </w:rPr>
        <w:t>6</w:t>
      </w:r>
      <w:r>
        <w:rPr>
          <w:rFonts w:hint="default" w:ascii="宋体" w:hAnsi="宋体" w:eastAsia="方正小标宋_GBK" w:cs="Times New Roman"/>
          <w:sz w:val="44"/>
          <w:szCs w:val="44"/>
          <w:highlight w:val="none"/>
        </w:rPr>
        <w:t>年国民经济</w:t>
      </w:r>
    </w:p>
    <w:p w14:paraId="7EC3612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2" w:lineRule="exact"/>
        <w:ind w:left="0" w:leftChars="0" w:firstLine="0" w:firstLineChars="0"/>
        <w:jc w:val="center"/>
        <w:textAlignment w:val="auto"/>
        <w:outlineLvl w:val="0"/>
        <w:rPr>
          <w:rFonts w:hint="default" w:ascii="宋体" w:hAnsi="宋体" w:eastAsia="方正小标宋_GBK" w:cs="Times New Roman"/>
          <w:sz w:val="44"/>
          <w:szCs w:val="44"/>
          <w:highlight w:val="none"/>
        </w:rPr>
      </w:pPr>
      <w:r>
        <w:rPr>
          <w:rFonts w:hint="default" w:ascii="宋体" w:hAnsi="宋体" w:eastAsia="方正小标宋_GBK" w:cs="Times New Roman"/>
          <w:sz w:val="44"/>
          <w:szCs w:val="44"/>
          <w:highlight w:val="none"/>
        </w:rPr>
        <w:t>和社会发展计划</w:t>
      </w:r>
      <w:r>
        <w:rPr>
          <w:rFonts w:hint="default" w:ascii="宋体" w:hAnsi="宋体" w:eastAsia="方正小标宋_GBK" w:cs="Times New Roman"/>
          <w:sz w:val="44"/>
          <w:szCs w:val="44"/>
          <w:highlight w:val="none"/>
          <w:lang w:eastAsia="zh-CN"/>
        </w:rPr>
        <w:t>（</w:t>
      </w:r>
      <w:r>
        <w:rPr>
          <w:rFonts w:hint="default" w:ascii="宋体" w:hAnsi="宋体" w:eastAsia="方正小标宋_GBK" w:cs="Times New Roman"/>
          <w:sz w:val="44"/>
          <w:szCs w:val="44"/>
          <w:highlight w:val="none"/>
        </w:rPr>
        <w:t>草案</w:t>
      </w:r>
      <w:r>
        <w:rPr>
          <w:rFonts w:hint="default" w:ascii="宋体" w:hAnsi="宋体" w:eastAsia="方正小标宋_GBK" w:cs="Times New Roman"/>
          <w:sz w:val="44"/>
          <w:szCs w:val="44"/>
          <w:highlight w:val="none"/>
          <w:lang w:eastAsia="zh-CN"/>
        </w:rPr>
        <w:t>）</w:t>
      </w:r>
      <w:r>
        <w:rPr>
          <w:rFonts w:hint="default" w:ascii="宋体" w:hAnsi="宋体" w:eastAsia="方正小标宋_GBK" w:cs="Times New Roman"/>
          <w:sz w:val="44"/>
          <w:szCs w:val="44"/>
          <w:highlight w:val="none"/>
        </w:rPr>
        <w:t>的报告</w:t>
      </w:r>
    </w:p>
    <w:p w14:paraId="668FCEC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2" w:lineRule="exact"/>
        <w:ind w:left="0" w:leftChars="0" w:firstLine="0" w:firstLineChars="0"/>
        <w:jc w:val="center"/>
        <w:textAlignment w:val="auto"/>
        <w:rPr>
          <w:rFonts w:hint="default" w:ascii="宋体" w:hAnsi="宋体" w:eastAsia="方正楷体_GBK" w:cs="Times New Roman"/>
          <w:sz w:val="32"/>
          <w:szCs w:val="32"/>
          <w:highlight w:val="none"/>
          <w:lang w:eastAsia="zh-CN"/>
        </w:rPr>
      </w:pPr>
    </w:p>
    <w:p w14:paraId="3BF886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2" w:lineRule="exact"/>
        <w:ind w:firstLine="640" w:firstLineChars="200"/>
        <w:textAlignment w:val="auto"/>
        <w:outlineLvl w:val="0"/>
        <w:rPr>
          <w:rFonts w:hint="default" w:ascii="宋体" w:hAnsi="宋体" w:eastAsia="方正黑体_GBK" w:cs="Times New Roman"/>
          <w:sz w:val="32"/>
          <w:szCs w:val="32"/>
          <w:highlight w:val="none"/>
        </w:rPr>
      </w:pPr>
      <w:r>
        <w:rPr>
          <w:rFonts w:hint="default" w:ascii="宋体" w:hAnsi="宋体" w:eastAsia="方正黑体_GBK" w:cs="Times New Roman"/>
          <w:sz w:val="32"/>
          <w:szCs w:val="32"/>
          <w:highlight w:val="none"/>
        </w:rPr>
        <w:t>一、</w:t>
      </w:r>
      <w:r>
        <w:rPr>
          <w:rFonts w:hint="default" w:ascii="宋体" w:hAnsi="宋体" w:cs="Times New Roman" w:eastAsiaTheme="minorEastAsia"/>
          <w:sz w:val="32"/>
          <w:szCs w:val="32"/>
          <w:highlight w:val="none"/>
        </w:rPr>
        <w:t>202</w:t>
      </w:r>
      <w:r>
        <w:rPr>
          <w:rFonts w:hint="default" w:ascii="宋体" w:hAnsi="宋体" w:cs="Times New Roman" w:eastAsiaTheme="minorEastAsia"/>
          <w:sz w:val="32"/>
          <w:szCs w:val="32"/>
          <w:highlight w:val="none"/>
          <w:lang w:val="en-US" w:eastAsia="zh-CN"/>
        </w:rPr>
        <w:t>5</w:t>
      </w:r>
      <w:r>
        <w:rPr>
          <w:rFonts w:hint="default" w:ascii="宋体" w:hAnsi="宋体" w:eastAsia="方正黑体_GBK" w:cs="Times New Roman"/>
          <w:sz w:val="32"/>
          <w:szCs w:val="32"/>
          <w:highlight w:val="none"/>
        </w:rPr>
        <w:t>年国民经济和社会发展计划执行情况</w:t>
      </w:r>
    </w:p>
    <w:p w14:paraId="111187A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2" w:lineRule="exact"/>
        <w:ind w:firstLine="640"/>
        <w:textAlignment w:val="auto"/>
        <w:rPr>
          <w:rFonts w:hint="default" w:ascii="宋体" w:hAnsi="宋体" w:eastAsia="方正仿宋_GBK" w:cs="Times New Roman"/>
          <w:sz w:val="32"/>
          <w:szCs w:val="32"/>
          <w:highlight w:val="none"/>
        </w:rPr>
      </w:pPr>
      <w:r>
        <w:rPr>
          <w:rFonts w:hint="default" w:ascii="宋体" w:hAnsi="宋体" w:eastAsia="方正仿宋_GBK" w:cs="Times New Roman"/>
          <w:sz w:val="32"/>
          <w:szCs w:val="32"/>
          <w:highlight w:val="none"/>
        </w:rPr>
        <w:t>2025年，在区委、区政府的坚强领导下，在区人大、区政协的监督支持下，全区上下坚持以习近平新时代中国特色社会主义思想为指导，全面贯彻党的二十大和二十届历次全会精神，深入学习贯彻习近平总书记对江苏工作重要讲话精神，坚持稳中求进工作总基调，扎实推进高质量发展，全区经济运行总体平稳、稳中有进。</w:t>
      </w:r>
    </w:p>
    <w:p w14:paraId="2684E9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2" w:lineRule="exact"/>
        <w:ind w:firstLine="640"/>
        <w:textAlignment w:val="auto"/>
        <w:rPr>
          <w:rFonts w:hint="default" w:ascii="宋体" w:hAnsi="宋体" w:eastAsia="方正仿宋_GBK" w:cs="Times New Roman"/>
          <w:sz w:val="32"/>
          <w:szCs w:val="32"/>
          <w:highlight w:val="none"/>
        </w:rPr>
      </w:pPr>
      <w:r>
        <w:rPr>
          <w:rFonts w:hint="default" w:ascii="宋体" w:hAnsi="宋体" w:eastAsia="方正仿宋_GBK" w:cs="Times New Roman"/>
          <w:sz w:val="32"/>
          <w:szCs w:val="32"/>
          <w:highlight w:val="none"/>
        </w:rPr>
        <w:t>——地区生产总值（GDP）预计完成1230亿元、增长5.5%，完成年度目标任务。</w:t>
      </w:r>
    </w:p>
    <w:p w14:paraId="661D7E1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2" w:lineRule="exact"/>
        <w:ind w:firstLine="640"/>
        <w:textAlignment w:val="auto"/>
        <w:rPr>
          <w:rFonts w:hint="default" w:ascii="宋体" w:hAnsi="宋体" w:eastAsia="方正仿宋_GBK" w:cs="Times New Roman"/>
          <w:sz w:val="32"/>
          <w:szCs w:val="32"/>
          <w:highlight w:val="none"/>
        </w:rPr>
      </w:pPr>
      <w:r>
        <w:rPr>
          <w:rFonts w:hint="default" w:ascii="宋体" w:hAnsi="宋体" w:eastAsia="方正仿宋_GBK" w:cs="Times New Roman"/>
          <w:sz w:val="32"/>
          <w:szCs w:val="32"/>
          <w:highlight w:val="none"/>
        </w:rPr>
        <w:t>——一般公共预算收入完成100.2亿元、增长2.4%，完成年度目标任务。</w:t>
      </w:r>
    </w:p>
    <w:p w14:paraId="6B62007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2" w:lineRule="exact"/>
        <w:ind w:firstLine="640"/>
        <w:textAlignment w:val="auto"/>
        <w:rPr>
          <w:rFonts w:hint="default" w:ascii="宋体" w:hAnsi="宋体" w:eastAsia="方正仿宋_GBK" w:cs="Times New Roman"/>
          <w:sz w:val="32"/>
          <w:szCs w:val="32"/>
          <w:highlight w:val="none"/>
        </w:rPr>
      </w:pPr>
      <w:r>
        <w:rPr>
          <w:rFonts w:hint="default" w:ascii="宋体" w:hAnsi="宋体" w:eastAsia="方正仿宋_GBK" w:cs="Times New Roman"/>
          <w:sz w:val="32"/>
          <w:szCs w:val="32"/>
          <w:highlight w:val="none"/>
        </w:rPr>
        <w:t>——规模以上工业增加值预计增长7%，完成年度目标任务。</w:t>
      </w:r>
    </w:p>
    <w:p w14:paraId="2D0F639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2" w:lineRule="exact"/>
        <w:ind w:firstLine="640"/>
        <w:textAlignment w:val="auto"/>
        <w:rPr>
          <w:rFonts w:hint="default" w:ascii="宋体" w:hAnsi="宋体" w:eastAsia="方正仿宋_GBK" w:cs="Times New Roman"/>
          <w:sz w:val="32"/>
          <w:szCs w:val="32"/>
          <w:highlight w:val="none"/>
        </w:rPr>
      </w:pPr>
      <w:r>
        <w:rPr>
          <w:rFonts w:hint="default" w:ascii="宋体" w:hAnsi="宋体" w:eastAsia="方正仿宋_GBK" w:cs="Times New Roman"/>
          <w:sz w:val="32"/>
          <w:szCs w:val="32"/>
          <w:highlight w:val="none"/>
        </w:rPr>
        <w:t>——社会消费品零售总额预计完成392亿元、增长3.2%，低于年度目标任务3.8个百分点。</w:t>
      </w:r>
    </w:p>
    <w:p w14:paraId="4EDC57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2" w:lineRule="exact"/>
        <w:ind w:firstLine="640"/>
        <w:textAlignment w:val="auto"/>
        <w:rPr>
          <w:rFonts w:hint="default" w:ascii="宋体" w:hAnsi="宋体" w:eastAsia="方正仿宋_GBK" w:cs="Times New Roman"/>
          <w:sz w:val="32"/>
          <w:szCs w:val="32"/>
          <w:highlight w:val="none"/>
        </w:rPr>
      </w:pPr>
      <w:r>
        <w:rPr>
          <w:rFonts w:hint="default" w:ascii="宋体" w:hAnsi="宋体" w:eastAsia="方正仿宋_GBK" w:cs="Times New Roman"/>
          <w:sz w:val="32"/>
          <w:szCs w:val="32"/>
          <w:highlight w:val="none"/>
        </w:rPr>
        <w:t>——进出口总额预计完成41亿美元、增长8%，完成年度目标任务；实际使用外资预计完成1.</w:t>
      </w:r>
      <w:r>
        <w:rPr>
          <w:rFonts w:hint="default" w:ascii="宋体" w:hAnsi="宋体" w:cs="Times New Roman"/>
          <w:sz w:val="32"/>
          <w:szCs w:val="32"/>
          <w:highlight w:val="none"/>
          <w:lang w:val="en-US" w:eastAsia="zh-CN"/>
        </w:rPr>
        <w:t>8</w:t>
      </w:r>
      <w:r>
        <w:rPr>
          <w:rFonts w:hint="default" w:ascii="宋体" w:hAnsi="宋体" w:eastAsia="方正仿宋_GBK" w:cs="Times New Roman"/>
          <w:sz w:val="32"/>
          <w:szCs w:val="32"/>
          <w:highlight w:val="none"/>
        </w:rPr>
        <w:t>亿美元，低于年度目标任务</w:t>
      </w:r>
      <w:r>
        <w:rPr>
          <w:rFonts w:hint="default" w:ascii="宋体" w:hAnsi="宋体" w:cs="Times New Roman" w:eastAsiaTheme="minorEastAsia"/>
          <w:sz w:val="32"/>
          <w:szCs w:val="32"/>
          <w:highlight w:val="none"/>
          <w:lang w:val="en-US" w:eastAsia="zh-CN"/>
        </w:rPr>
        <w:t>1</w:t>
      </w:r>
      <w:r>
        <w:rPr>
          <w:rFonts w:hint="default" w:ascii="宋体" w:hAnsi="宋体" w:cs="Times New Roman"/>
          <w:sz w:val="32"/>
          <w:szCs w:val="32"/>
          <w:highlight w:val="none"/>
          <w:lang w:val="en-US" w:eastAsia="zh-CN"/>
        </w:rPr>
        <w:t>.2</w:t>
      </w:r>
      <w:r>
        <w:rPr>
          <w:rFonts w:hint="default" w:ascii="宋体" w:hAnsi="宋体" w:eastAsia="方正仿宋_GBK" w:cs="Times New Roman"/>
          <w:sz w:val="32"/>
          <w:szCs w:val="32"/>
          <w:highlight w:val="none"/>
          <w:lang w:val="en-US" w:eastAsia="zh-CN"/>
        </w:rPr>
        <w:t>亿美元</w:t>
      </w:r>
      <w:r>
        <w:rPr>
          <w:rFonts w:hint="default" w:ascii="宋体" w:hAnsi="宋体" w:eastAsia="方正仿宋_GBK" w:cs="Times New Roman"/>
          <w:sz w:val="32"/>
          <w:szCs w:val="32"/>
          <w:highlight w:val="none"/>
          <w:lang w:eastAsia="zh-CN"/>
        </w:rPr>
        <w:t>。</w:t>
      </w:r>
    </w:p>
    <w:p w14:paraId="7020D77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2" w:lineRule="exact"/>
        <w:ind w:firstLine="640"/>
        <w:textAlignment w:val="auto"/>
        <w:rPr>
          <w:rFonts w:hint="default" w:ascii="宋体" w:hAnsi="宋体" w:eastAsia="方正仿宋_GBK" w:cs="Times New Roman"/>
          <w:sz w:val="32"/>
          <w:szCs w:val="32"/>
          <w:highlight w:val="none"/>
        </w:rPr>
      </w:pPr>
      <w:r>
        <w:rPr>
          <w:rStyle w:val="12"/>
          <w:rFonts w:hint="default" w:ascii="宋体" w:hAnsi="宋体" w:cs="Times New Roman"/>
        </w:rPr>
        <w:t>——R&amp;D经费支出占GDP比重预计4.13%，完成</w:t>
      </w:r>
      <w:r>
        <w:rPr>
          <w:rFonts w:hint="default" w:ascii="宋体" w:hAnsi="宋体" w:eastAsia="方正仿宋_GBK" w:cs="Times New Roman"/>
          <w:sz w:val="32"/>
          <w:szCs w:val="32"/>
          <w:highlight w:val="none"/>
        </w:rPr>
        <w:t>年度目标任务。高新技术产业产值占</w:t>
      </w:r>
      <w:r>
        <w:rPr>
          <w:rFonts w:hint="eastAsia" w:ascii="宋体" w:hAnsi="宋体" w:cs="Times New Roman"/>
          <w:sz w:val="32"/>
          <w:szCs w:val="32"/>
          <w:highlight w:val="none"/>
          <w:lang w:eastAsia="zh-CN"/>
        </w:rPr>
        <w:t>规模以上</w:t>
      </w:r>
      <w:r>
        <w:rPr>
          <w:rFonts w:hint="default" w:ascii="宋体" w:hAnsi="宋体" w:eastAsia="方正仿宋_GBK" w:cs="Times New Roman"/>
          <w:sz w:val="32"/>
          <w:szCs w:val="32"/>
          <w:highlight w:val="none"/>
        </w:rPr>
        <w:t>工业总产值比重预计超76%，完成年度目标任务。</w:t>
      </w:r>
    </w:p>
    <w:p w14:paraId="523FAB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2" w:lineRule="exact"/>
        <w:ind w:firstLine="640"/>
        <w:textAlignment w:val="auto"/>
        <w:rPr>
          <w:rFonts w:hint="default" w:ascii="宋体" w:hAnsi="宋体" w:eastAsia="方正仿宋_GBK" w:cs="Times New Roman"/>
          <w:sz w:val="32"/>
          <w:szCs w:val="32"/>
          <w:highlight w:val="none"/>
        </w:rPr>
      </w:pPr>
      <w:r>
        <w:rPr>
          <w:rFonts w:hint="default" w:ascii="宋体" w:hAnsi="宋体" w:eastAsia="方正仿宋_GBK" w:cs="Times New Roman"/>
          <w:sz w:val="32"/>
          <w:szCs w:val="32"/>
          <w:highlight w:val="none"/>
        </w:rPr>
        <w:t>——城镇新增就业人数预计完成1.3万人，完成年度目标任务。</w:t>
      </w:r>
    </w:p>
    <w:p w14:paraId="1B6A4C7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2" w:lineRule="exact"/>
        <w:ind w:firstLine="640"/>
        <w:textAlignment w:val="auto"/>
        <w:rPr>
          <w:rFonts w:hint="default" w:ascii="宋体" w:hAnsi="宋体" w:eastAsia="方正仿宋_GBK" w:cs="Times New Roman"/>
          <w:sz w:val="32"/>
          <w:szCs w:val="32"/>
          <w:highlight w:val="none"/>
        </w:rPr>
      </w:pPr>
      <w:r>
        <w:rPr>
          <w:rFonts w:hint="default" w:ascii="宋体" w:hAnsi="宋体" w:eastAsia="方正仿宋_GBK" w:cs="Times New Roman"/>
          <w:sz w:val="32"/>
          <w:szCs w:val="32"/>
          <w:highlight w:val="none"/>
        </w:rPr>
        <w:t>——居民人均可支配收入预计完成83360元、增长4.3%，完成年度目标任务。</w:t>
      </w:r>
    </w:p>
    <w:p w14:paraId="26817C7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2" w:lineRule="exact"/>
        <w:ind w:firstLine="640"/>
        <w:textAlignment w:val="auto"/>
        <w:rPr>
          <w:rFonts w:hint="default" w:ascii="宋体" w:hAnsi="宋体" w:eastAsia="方正仿宋_GBK" w:cs="Times New Roman"/>
          <w:sz w:val="32"/>
          <w:szCs w:val="32"/>
          <w:highlight w:val="none"/>
        </w:rPr>
      </w:pPr>
      <w:r>
        <w:rPr>
          <w:rFonts w:hint="default" w:ascii="宋体" w:hAnsi="宋体" w:eastAsia="方正仿宋_GBK" w:cs="Times New Roman"/>
          <w:sz w:val="32"/>
          <w:szCs w:val="32"/>
          <w:highlight w:val="none"/>
        </w:rPr>
        <w:t>——节能减排和大气、水环境质量等约束性指标均完成市下达目标任务。</w:t>
      </w:r>
    </w:p>
    <w:p w14:paraId="7947E10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2" w:lineRule="exact"/>
        <w:ind w:firstLine="640"/>
        <w:textAlignment w:val="auto"/>
        <w:rPr>
          <w:rFonts w:hint="default" w:ascii="宋体" w:hAnsi="宋体" w:eastAsia="方正仿宋_GBK" w:cs="Times New Roman"/>
          <w:sz w:val="32"/>
          <w:szCs w:val="32"/>
          <w:highlight w:val="none"/>
        </w:rPr>
      </w:pPr>
      <w:r>
        <w:rPr>
          <w:rFonts w:hint="default" w:ascii="宋体" w:hAnsi="宋体" w:eastAsia="方正仿宋_GBK" w:cs="Times New Roman"/>
          <w:sz w:val="32"/>
          <w:szCs w:val="32"/>
          <w:highlight w:val="none"/>
        </w:rPr>
        <w:t>——安全生产形势总体保持平稳，事故起数、死亡人数保持低位。</w:t>
      </w:r>
    </w:p>
    <w:p w14:paraId="4B3CB40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2" w:lineRule="exact"/>
        <w:ind w:firstLine="640"/>
        <w:textAlignment w:val="auto"/>
        <w:rPr>
          <w:rFonts w:hint="default" w:ascii="宋体" w:hAnsi="宋体" w:eastAsia="方正仿宋_GBK" w:cs="Times New Roman"/>
          <w:sz w:val="32"/>
          <w:szCs w:val="32"/>
          <w:highlight w:val="none"/>
        </w:rPr>
      </w:pPr>
      <w:r>
        <w:rPr>
          <w:rFonts w:hint="default" w:ascii="宋体" w:hAnsi="宋体" w:eastAsia="方正仿宋_GBK" w:cs="Times New Roman"/>
          <w:sz w:val="32"/>
          <w:szCs w:val="32"/>
          <w:highlight w:val="none"/>
        </w:rPr>
        <w:t>综观</w:t>
      </w:r>
      <w:r>
        <w:rPr>
          <w:rFonts w:hint="default" w:ascii="宋体" w:hAnsi="宋体" w:cs="Times New Roman" w:eastAsiaTheme="minorEastAsia"/>
          <w:sz w:val="32"/>
          <w:szCs w:val="32"/>
          <w:highlight w:val="none"/>
        </w:rPr>
        <w:t>202</w:t>
      </w:r>
      <w:r>
        <w:rPr>
          <w:rFonts w:hint="default" w:ascii="宋体" w:hAnsi="宋体" w:cs="Times New Roman" w:eastAsiaTheme="minorEastAsia"/>
          <w:sz w:val="32"/>
          <w:szCs w:val="32"/>
          <w:highlight w:val="none"/>
          <w:lang w:val="en-US" w:eastAsia="zh-CN"/>
        </w:rPr>
        <w:t>5</w:t>
      </w:r>
      <w:r>
        <w:rPr>
          <w:rFonts w:hint="default" w:ascii="宋体" w:hAnsi="宋体" w:eastAsia="方正仿宋_GBK" w:cs="Times New Roman"/>
          <w:sz w:val="32"/>
          <w:szCs w:val="32"/>
          <w:highlight w:val="none"/>
        </w:rPr>
        <w:t>年，全区经济社会发展主要取得了以下新成效：</w:t>
      </w:r>
    </w:p>
    <w:p w14:paraId="313EE11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2" w:lineRule="exact"/>
        <w:ind w:firstLine="640"/>
        <w:textAlignment w:val="auto"/>
        <w:rPr>
          <w:rFonts w:hint="default" w:ascii="宋体" w:hAnsi="宋体" w:eastAsia="方正仿宋_GBK" w:cs="Times New Roman"/>
          <w:sz w:val="32"/>
          <w:szCs w:val="32"/>
          <w:highlight w:val="none"/>
          <w:lang w:val="en-US" w:eastAsia="zh-CN"/>
        </w:rPr>
      </w:pPr>
      <w:r>
        <w:rPr>
          <w:rFonts w:hint="default" w:ascii="宋体" w:hAnsi="宋体" w:eastAsia="方正楷体_GBK" w:cs="Times New Roman"/>
          <w:sz w:val="32"/>
          <w:szCs w:val="32"/>
          <w:highlight w:val="none"/>
          <w:lang w:val="en-US" w:eastAsia="zh-CN"/>
        </w:rPr>
        <w:t>夯实经济运行稳发展</w:t>
      </w:r>
      <w:r>
        <w:rPr>
          <w:rFonts w:hint="default" w:ascii="宋体" w:hAnsi="宋体" w:eastAsia="方正楷体_GBK" w:cs="Times New Roman"/>
          <w:sz w:val="32"/>
          <w:szCs w:val="32"/>
          <w:highlight w:val="none"/>
        </w:rPr>
        <w:t>。</w:t>
      </w:r>
      <w:r>
        <w:rPr>
          <w:rStyle w:val="13"/>
          <w:rFonts w:hint="default" w:ascii="宋体" w:hAnsi="宋体" w:cs="Times New Roman"/>
          <w:lang w:val="en-US" w:eastAsia="zh-CN"/>
        </w:rPr>
        <w:t>全区经济延续平稳向好态势，市日常监测的12项主要经济指标中，预计GDP、一般公共预算收入、</w:t>
      </w:r>
      <w:r>
        <w:rPr>
          <w:rStyle w:val="13"/>
          <w:rFonts w:hint="eastAsia" w:ascii="宋体" w:hAnsi="宋体" w:cs="Times New Roman"/>
          <w:lang w:val="en-US" w:eastAsia="zh-CN"/>
        </w:rPr>
        <w:t>规模以上</w:t>
      </w:r>
      <w:r>
        <w:rPr>
          <w:rStyle w:val="13"/>
          <w:rFonts w:hint="default" w:ascii="宋体" w:hAnsi="宋体" w:cs="Times New Roman"/>
          <w:lang w:val="en-US" w:eastAsia="zh-CN"/>
        </w:rPr>
        <w:t>工业增加值、进出口总额、出口总额、</w:t>
      </w:r>
      <w:r>
        <w:rPr>
          <w:rStyle w:val="13"/>
          <w:rFonts w:hint="eastAsia" w:ascii="宋体" w:hAnsi="宋体" w:cs="Times New Roman"/>
          <w:lang w:val="en-US" w:eastAsia="zh-CN"/>
        </w:rPr>
        <w:t>规模以上</w:t>
      </w:r>
      <w:r>
        <w:rPr>
          <w:rStyle w:val="13"/>
          <w:rFonts w:hint="default" w:ascii="宋体" w:hAnsi="宋体" w:cs="Times New Roman"/>
          <w:lang w:val="en-US" w:eastAsia="zh-CN"/>
        </w:rPr>
        <w:t>服务业营收等6项指标增速全市前</w:t>
      </w:r>
      <w:r>
        <w:rPr>
          <w:rStyle w:val="13"/>
          <w:rFonts w:hint="eastAsia" w:ascii="宋体" w:hAnsi="宋体" w:cs="Times New Roman"/>
          <w:lang w:val="en-US" w:eastAsia="zh-CN"/>
        </w:rPr>
        <w:t>三</w:t>
      </w:r>
      <w:r>
        <w:rPr>
          <w:rStyle w:val="13"/>
          <w:rFonts w:hint="default" w:ascii="宋体" w:hAnsi="宋体" w:cs="Times New Roman"/>
          <w:lang w:val="en-US" w:eastAsia="zh-CN"/>
        </w:rPr>
        <w:t>，</w:t>
      </w:r>
      <w:r>
        <w:rPr>
          <w:rStyle w:val="13"/>
          <w:rFonts w:hint="eastAsia" w:ascii="宋体" w:hAnsi="宋体" w:cs="Times New Roman"/>
          <w:lang w:val="en-US" w:eastAsia="zh-CN"/>
        </w:rPr>
        <w:t>规模以上</w:t>
      </w:r>
      <w:r>
        <w:rPr>
          <w:rStyle w:val="13"/>
          <w:rFonts w:hint="default" w:ascii="宋体" w:hAnsi="宋体" w:cs="Times New Roman"/>
          <w:lang w:val="en-US" w:eastAsia="zh-CN"/>
        </w:rPr>
        <w:t>工业总产值首次突破千亿，一般公共预算收入突破百亿，GDP总量占全市比重进一步提升，上榜全国综合实力百强区第43位。制定实施打造新型消费目的地若干政策，抢抓春晚、“苏超”等流量热点，创新打造“蠡湖北岸”星光音乐会等新型消费场景，拈花湾入选全国消费新场景典型案例，落户盒马区域总部项目，太湖新光综合体正式开业。</w:t>
      </w:r>
    </w:p>
    <w:p w14:paraId="103F5E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2" w:lineRule="exact"/>
        <w:ind w:firstLine="640"/>
        <w:textAlignment w:val="auto"/>
        <w:rPr>
          <w:rStyle w:val="13"/>
          <w:rFonts w:hint="default" w:ascii="宋体" w:hAnsi="宋体" w:cs="Times New Roman"/>
          <w:lang w:val="en-US" w:eastAsia="zh-CN"/>
        </w:rPr>
      </w:pPr>
      <w:r>
        <w:rPr>
          <w:rFonts w:hint="default" w:ascii="宋体" w:hAnsi="宋体" w:eastAsia="方正楷体_GBK" w:cs="Times New Roman"/>
          <w:sz w:val="32"/>
          <w:szCs w:val="32"/>
          <w:highlight w:val="none"/>
          <w:lang w:val="en-US" w:eastAsia="zh-CN"/>
        </w:rPr>
        <w:t>聚焦产业集群强优势。</w:t>
      </w:r>
      <w:r>
        <w:rPr>
          <w:rStyle w:val="13"/>
          <w:rFonts w:hint="default" w:ascii="宋体" w:hAnsi="宋体" w:cs="Times New Roman"/>
          <w:lang w:val="en-US" w:eastAsia="zh-CN"/>
        </w:rPr>
        <w:t>落细落实“八个一”产业推进机制，预计全年“543+X”产业规模达1650亿元、增长10%左右，五大优势产业营收超</w:t>
      </w:r>
      <w:r>
        <w:rPr>
          <w:rStyle w:val="13"/>
          <w:rFonts w:hint="eastAsia" w:ascii="宋体" w:hAnsi="宋体" w:cs="Times New Roman"/>
          <w:lang w:val="en-US" w:eastAsia="zh-CN"/>
        </w:rPr>
        <w:t>1100亿元</w:t>
      </w:r>
      <w:r>
        <w:rPr>
          <w:rStyle w:val="13"/>
          <w:rFonts w:hint="default" w:ascii="宋体" w:hAnsi="宋体" w:cs="Times New Roman"/>
          <w:lang w:val="en-US" w:eastAsia="zh-CN"/>
        </w:rPr>
        <w:t>，“3+X”未来产业</w:t>
      </w:r>
      <w:r>
        <w:rPr>
          <w:rStyle w:val="13"/>
          <w:rFonts w:hint="eastAsia" w:ascii="宋体" w:hAnsi="宋体" w:cs="Times New Roman"/>
          <w:lang w:val="en-US" w:eastAsia="zh-CN"/>
        </w:rPr>
        <w:t>营收</w:t>
      </w:r>
      <w:r>
        <w:rPr>
          <w:rStyle w:val="13"/>
          <w:rFonts w:hint="default" w:ascii="宋体" w:hAnsi="宋体" w:cs="Times New Roman"/>
          <w:lang w:val="en-US" w:eastAsia="zh-CN"/>
        </w:rPr>
        <w:t>超</w:t>
      </w:r>
      <w:r>
        <w:rPr>
          <w:rStyle w:val="13"/>
          <w:rFonts w:hint="eastAsia" w:ascii="宋体" w:hAnsi="宋体" w:cs="Times New Roman"/>
          <w:lang w:val="en-US" w:eastAsia="zh-CN"/>
        </w:rPr>
        <w:t>15</w:t>
      </w:r>
      <w:r>
        <w:rPr>
          <w:rStyle w:val="13"/>
          <w:rFonts w:hint="default" w:ascii="宋体" w:hAnsi="宋体" w:cs="Times New Roman"/>
          <w:lang w:val="en-US" w:eastAsia="zh-CN"/>
        </w:rPr>
        <w:t>0亿</w:t>
      </w:r>
      <w:r>
        <w:rPr>
          <w:rStyle w:val="13"/>
          <w:rFonts w:hint="eastAsia" w:ascii="宋体" w:hAnsi="宋体" w:cs="Times New Roman"/>
          <w:lang w:val="en-US" w:eastAsia="zh-CN"/>
        </w:rPr>
        <w:t>元</w:t>
      </w:r>
      <w:r>
        <w:rPr>
          <w:rStyle w:val="13"/>
          <w:rFonts w:hint="default" w:ascii="宋体" w:hAnsi="宋体" w:cs="Times New Roman"/>
          <w:lang w:val="en-US" w:eastAsia="zh-CN"/>
        </w:rPr>
        <w:t>，15家企业入选市现代产业集群重点产业链链主企业名单，新增上市企业1家</w:t>
      </w:r>
      <w:r>
        <w:rPr>
          <w:rStyle w:val="13"/>
          <w:rFonts w:hint="default" w:ascii="宋体" w:hAnsi="宋体" w:cs="Times New Roman"/>
          <w:highlight w:val="none"/>
          <w:lang w:val="en-US" w:eastAsia="zh-CN"/>
        </w:rPr>
        <w:t>、新三板创新层挂牌企业2家。高标准编制特色产业园区发展规划，滨湖复星人形机器人产业园投入运营。</w:t>
      </w:r>
      <w:r>
        <w:rPr>
          <w:rStyle w:val="13"/>
          <w:rFonts w:hint="eastAsia" w:ascii="宋体" w:hAnsi="宋体" w:cs="Times New Roman"/>
          <w:highlight w:val="none"/>
          <w:lang w:val="en-US" w:eastAsia="zh-CN"/>
        </w:rPr>
        <w:t>卓胜微</w:t>
      </w:r>
      <w:r>
        <w:rPr>
          <w:rStyle w:val="13"/>
          <w:rFonts w:hint="default" w:ascii="宋体" w:hAnsi="宋体" w:cs="Times New Roman"/>
          <w:highlight w:val="none"/>
          <w:lang w:val="en-US" w:eastAsia="zh-CN"/>
        </w:rPr>
        <w:t>二期等1</w:t>
      </w:r>
      <w:r>
        <w:rPr>
          <w:rStyle w:val="13"/>
          <w:rFonts w:hint="eastAsia" w:ascii="宋体" w:hAnsi="宋体" w:cs="Times New Roman"/>
          <w:highlight w:val="none"/>
          <w:lang w:val="en-US" w:eastAsia="zh-CN"/>
        </w:rPr>
        <w:t>6</w:t>
      </w:r>
      <w:r>
        <w:rPr>
          <w:rStyle w:val="13"/>
          <w:rFonts w:hint="default" w:ascii="宋体" w:hAnsi="宋体" w:cs="Times New Roman"/>
          <w:highlight w:val="none"/>
          <w:lang w:val="en-US" w:eastAsia="zh-CN"/>
        </w:rPr>
        <w:t>个市重大项目启动建设，华立聚能等14个项目竣工投用；新招引备案</w:t>
      </w:r>
      <w:r>
        <w:rPr>
          <w:rStyle w:val="13"/>
          <w:rFonts w:hint="default" w:ascii="宋体" w:hAnsi="宋体" w:cs="Times New Roman"/>
          <w:lang w:val="en-US" w:eastAsia="zh-CN"/>
        </w:rPr>
        <w:t>10亿元以上重大产业项目</w:t>
      </w:r>
      <w:r>
        <w:rPr>
          <w:rStyle w:val="13"/>
          <w:rFonts w:hint="eastAsia" w:ascii="宋体" w:hAnsi="宋体" w:cs="Times New Roman"/>
          <w:lang w:val="en-US" w:eastAsia="zh-CN"/>
        </w:rPr>
        <w:t>7</w:t>
      </w:r>
      <w:r>
        <w:rPr>
          <w:rStyle w:val="13"/>
          <w:rFonts w:hint="default" w:ascii="宋体" w:hAnsi="宋体" w:cs="Times New Roman"/>
          <w:lang w:val="en-US" w:eastAsia="zh-CN"/>
        </w:rPr>
        <w:t>个，其中50亿元以上项目1个。累计腾退低效工业用地超800亩，新增可利用工业净地600亩。科学高效编制“十五五”规划纲要，构建完善滨湖特色生产性服务业发展体系。</w:t>
      </w:r>
    </w:p>
    <w:p w14:paraId="3FC7E3D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2" w:lineRule="exact"/>
        <w:ind w:firstLine="640" w:firstLineChars="200"/>
        <w:textAlignment w:val="auto"/>
        <w:rPr>
          <w:rFonts w:hint="default" w:ascii="宋体" w:hAnsi="宋体" w:eastAsia="方正仿宋_GBK" w:cs="Times New Roman"/>
          <w:sz w:val="32"/>
          <w:szCs w:val="32"/>
          <w:highlight w:val="none"/>
          <w:lang w:val="en-US" w:eastAsia="zh-CN"/>
        </w:rPr>
      </w:pPr>
      <w:r>
        <w:rPr>
          <w:rFonts w:hint="default" w:ascii="宋体" w:hAnsi="宋体" w:eastAsia="方正楷体_GBK" w:cs="Times New Roman"/>
          <w:sz w:val="32"/>
          <w:highlight w:val="none"/>
          <w:lang w:val="en-US" w:eastAsia="zh-CN"/>
        </w:rPr>
        <w:t>优化创新生态增动能</w:t>
      </w:r>
      <w:r>
        <w:rPr>
          <w:rFonts w:hint="default" w:ascii="宋体" w:hAnsi="宋体" w:eastAsia="方正楷体_GBK" w:cs="Times New Roman"/>
          <w:sz w:val="32"/>
          <w:szCs w:val="32"/>
          <w:highlight w:val="none"/>
        </w:rPr>
        <w:t>。</w:t>
      </w:r>
      <w:r>
        <w:rPr>
          <w:rStyle w:val="13"/>
          <w:rFonts w:hint="default" w:ascii="宋体" w:hAnsi="宋体" w:cs="Times New Roman"/>
          <w:lang w:val="en-US" w:eastAsia="zh-CN"/>
        </w:rPr>
        <w:t>功能区建设进一步深化，山水城获批省级高新区，胡埭镇创成省经济发达镇。山水东路科创谷建设加快推进，确立“一轴三谷，一环多廊”空间发展格局，民用航空电子产业园项目开工建设，南京大学大气技术研究院实质化运营。布局建设全链式科技成果转化先行区，成立区级天使投资引导基金，无锡光子芯片联合研究中心入选首批国家级重点培育中试平台名单，深远海装备无锡研发基地二期项目部分竣工试运行，紫荆智康AI医疗项目落地启用。新增国家级、省级专精特新企业12家、101家，培育省独角兽及潜在独角兽企业13家，获评省先进级智能工厂21家，全年高新技术企业预计达超830家。</w:t>
      </w:r>
    </w:p>
    <w:p w14:paraId="378BB81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2" w:lineRule="exact"/>
        <w:ind w:firstLine="640"/>
        <w:textAlignment w:val="auto"/>
        <w:rPr>
          <w:rFonts w:hint="default" w:ascii="宋体" w:hAnsi="宋体" w:eastAsia="方正仿宋_GBK" w:cs="Times New Roman"/>
          <w:color w:val="FF0000"/>
          <w:sz w:val="32"/>
          <w:szCs w:val="32"/>
          <w:highlight w:val="none"/>
          <w:lang w:val="en-US" w:eastAsia="zh-CN"/>
        </w:rPr>
      </w:pPr>
      <w:r>
        <w:rPr>
          <w:rFonts w:hint="default" w:ascii="宋体" w:hAnsi="宋体" w:eastAsia="方正楷体_GBK" w:cs="Times New Roman"/>
          <w:sz w:val="32"/>
          <w:szCs w:val="32"/>
          <w:highlight w:val="none"/>
          <w:lang w:val="en-US" w:eastAsia="zh-CN"/>
        </w:rPr>
        <w:t>精准惠企利民办实事</w:t>
      </w:r>
      <w:r>
        <w:rPr>
          <w:rFonts w:hint="default" w:ascii="宋体" w:hAnsi="宋体" w:eastAsia="方正楷体_GBK" w:cs="Times New Roman"/>
          <w:sz w:val="32"/>
          <w:szCs w:val="32"/>
          <w:highlight w:val="none"/>
        </w:rPr>
        <w:t>。</w:t>
      </w:r>
      <w:r>
        <w:rPr>
          <w:rStyle w:val="13"/>
          <w:rFonts w:hint="default" w:ascii="宋体" w:hAnsi="宋体" w:cs="Times New Roman"/>
          <w:lang w:val="en-US" w:eastAsia="zh-CN"/>
        </w:rPr>
        <w:t>迭代升级优化营商环境7.0版，深化“一件事”服务改革，设立全市首家纾困惠企司法服务中心等服务专窗，打通企业服务“最后一公里”，全年兑现各类产业扶持资金4</w:t>
      </w:r>
      <w:r>
        <w:rPr>
          <w:rStyle w:val="13"/>
          <w:rFonts w:hint="eastAsia" w:ascii="宋体" w:hAnsi="宋体" w:cs="Times New Roman"/>
          <w:lang w:val="en-US" w:eastAsia="zh-CN"/>
        </w:rPr>
        <w:t>.2</w:t>
      </w:r>
      <w:r>
        <w:rPr>
          <w:rStyle w:val="13"/>
          <w:rFonts w:hint="default" w:ascii="宋体" w:hAnsi="宋体" w:cs="Times New Roman"/>
          <w:lang w:val="en-US" w:eastAsia="zh-CN"/>
        </w:rPr>
        <w:t>亿元。圆满完成8大工程20项民生实事项目。开展“春风行动”系列招聘活动，建设“家门口”就业服务站</w:t>
      </w:r>
      <w:r>
        <w:rPr>
          <w:rStyle w:val="13"/>
          <w:rFonts w:hint="eastAsia" w:ascii="宋体" w:hAnsi="宋体" w:cs="Times New Roman"/>
          <w:lang w:val="en-US" w:eastAsia="zh-CN"/>
        </w:rPr>
        <w:t>21</w:t>
      </w:r>
      <w:r>
        <w:rPr>
          <w:rStyle w:val="13"/>
          <w:rFonts w:hint="default" w:ascii="宋体" w:hAnsi="宋体" w:cs="Times New Roman"/>
          <w:lang w:val="en-US" w:eastAsia="zh-CN"/>
        </w:rPr>
        <w:t>个，引进大学生1.</w:t>
      </w:r>
      <w:r>
        <w:rPr>
          <w:rStyle w:val="13"/>
          <w:rFonts w:hint="eastAsia" w:ascii="宋体" w:hAnsi="宋体" w:cs="Times New Roman"/>
          <w:lang w:val="en-US" w:eastAsia="zh-CN"/>
        </w:rPr>
        <w:t>1</w:t>
      </w:r>
      <w:r>
        <w:rPr>
          <w:rStyle w:val="13"/>
          <w:rFonts w:hint="default" w:ascii="宋体" w:hAnsi="宋体" w:cs="Times New Roman"/>
          <w:lang w:val="en-US" w:eastAsia="zh-CN"/>
        </w:rPr>
        <w:t>万人。</w:t>
      </w:r>
      <w:r>
        <w:rPr>
          <w:rStyle w:val="13"/>
          <w:rFonts w:hint="eastAsia" w:ascii="宋体" w:hAnsi="宋体" w:cs="Times New Roman"/>
          <w:lang w:val="en-US" w:eastAsia="zh-CN"/>
        </w:rPr>
        <w:t>省</w:t>
      </w:r>
      <w:r>
        <w:rPr>
          <w:rFonts w:hint="default" w:ascii="宋体" w:hAnsi="宋体" w:cs="Times New Roman"/>
          <w:szCs w:val="32"/>
          <w:highlight w:val="none"/>
          <w:u w:val="none"/>
        </w:rPr>
        <w:t>锡中滨湖分校顺利开办，</w:t>
      </w:r>
      <w:r>
        <w:rPr>
          <w:rStyle w:val="13"/>
          <w:rFonts w:hint="default" w:ascii="宋体" w:hAnsi="宋体" w:cs="Times New Roman"/>
          <w:lang w:val="en-US" w:eastAsia="zh-CN"/>
        </w:rPr>
        <w:t>省级标准居家社区养老服务网络地区创建通过验收，初次信访事项一次性化解率100%。连续9年PM</w:t>
      </w:r>
      <w:r>
        <w:rPr>
          <w:rStyle w:val="13"/>
          <w:rFonts w:hint="default" w:ascii="宋体" w:hAnsi="宋体" w:cs="Times New Roman"/>
          <w:vertAlign w:val="subscript"/>
          <w:lang w:val="en-US" w:eastAsia="zh-CN"/>
        </w:rPr>
        <w:t>2.5</w:t>
      </w:r>
      <w:r>
        <w:rPr>
          <w:rStyle w:val="13"/>
          <w:rFonts w:hint="default" w:ascii="宋体" w:hAnsi="宋体" w:cs="Times New Roman"/>
          <w:lang w:val="en-US" w:eastAsia="zh-CN"/>
        </w:rPr>
        <w:t>平均浓度全市第</w:t>
      </w:r>
      <w:r>
        <w:rPr>
          <w:rStyle w:val="13"/>
          <w:rFonts w:hint="eastAsia" w:ascii="宋体" w:hAnsi="宋体" w:cs="Times New Roman"/>
          <w:lang w:val="en-US" w:eastAsia="zh-CN"/>
        </w:rPr>
        <w:t>一</w:t>
      </w:r>
      <w:r>
        <w:rPr>
          <w:rStyle w:val="13"/>
          <w:rFonts w:hint="default" w:ascii="宋体" w:hAnsi="宋体" w:cs="Times New Roman"/>
          <w:lang w:val="en-US" w:eastAsia="zh-CN"/>
        </w:rPr>
        <w:t>，连续18年实现太湖安全度夏。全区安全生产形势总体稳定。</w:t>
      </w:r>
    </w:p>
    <w:p w14:paraId="31C9A00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2" w:lineRule="exact"/>
        <w:ind w:firstLine="640"/>
        <w:textAlignment w:val="auto"/>
        <w:rPr>
          <w:rFonts w:hint="default" w:ascii="宋体" w:hAnsi="宋体" w:eastAsia="方正仿宋_GBK" w:cs="Times New Roman"/>
          <w:sz w:val="32"/>
          <w:szCs w:val="32"/>
          <w:highlight w:val="yellow"/>
          <w:lang w:val="en-US" w:eastAsia="zh-CN"/>
        </w:rPr>
      </w:pPr>
      <w:r>
        <w:rPr>
          <w:rStyle w:val="13"/>
          <w:rFonts w:hint="default" w:ascii="宋体" w:hAnsi="宋体" w:cs="Times New Roman"/>
        </w:rPr>
        <w:t>2025年，区委、区政府坚决扛起“走在前、做示范”的责任担当，深入贯彻落实党中央、国务院决策部署，坚持稳中求进工作总基调，完整准确全面贯彻新发展理念，着力稳就业、稳企业、稳市场、稳预期，经济形势平稳向好，发展质效持续提升。但受外部环境变化影响加深、国内供强需弱矛盾突出、重点领域风险隐患较多等因素影响，预计社会消费品零售总额、实际使用外资等2项指标完成年度目标存在一定压力。受传统燃油车销售增速放缓、新零售冲击传统商超等因素影响，我区部分重点零售企业减量压力较大，前30强企业中近半企业销售额负增长，社会消费品零售总额完成全年目标难度较大。受市场环境、政策波动因素影响，存量企业实际到位外资持续承压，在谈项目中具有行业引领力和强带动效应的重大外资项目不多，外资持续稳定增长支撑不足。</w:t>
      </w:r>
    </w:p>
    <w:p w14:paraId="6E53CDA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2" w:lineRule="exact"/>
        <w:ind w:firstLine="640" w:firstLineChars="200"/>
        <w:textAlignment w:val="auto"/>
        <w:outlineLvl w:val="0"/>
        <w:rPr>
          <w:rFonts w:hint="default" w:ascii="宋体" w:hAnsi="宋体" w:eastAsia="方正黑体_GBK" w:cs="Times New Roman"/>
          <w:sz w:val="32"/>
          <w:szCs w:val="32"/>
          <w:highlight w:val="none"/>
        </w:rPr>
      </w:pPr>
      <w:r>
        <w:rPr>
          <w:rFonts w:hint="default" w:ascii="宋体" w:hAnsi="宋体" w:eastAsia="方正黑体_GBK" w:cs="Times New Roman"/>
          <w:sz w:val="32"/>
          <w:szCs w:val="32"/>
          <w:highlight w:val="none"/>
        </w:rPr>
        <w:t>二、</w:t>
      </w:r>
      <w:r>
        <w:rPr>
          <w:rFonts w:hint="default" w:ascii="宋体" w:hAnsi="宋体" w:cs="Times New Roman" w:eastAsiaTheme="minorEastAsia"/>
          <w:sz w:val="32"/>
          <w:szCs w:val="32"/>
          <w:highlight w:val="none"/>
        </w:rPr>
        <w:t>202</w:t>
      </w:r>
      <w:r>
        <w:rPr>
          <w:rFonts w:hint="default" w:ascii="宋体" w:hAnsi="宋体" w:cs="Times New Roman" w:eastAsiaTheme="minorEastAsia"/>
          <w:sz w:val="32"/>
          <w:szCs w:val="32"/>
          <w:highlight w:val="none"/>
          <w:lang w:val="en-US" w:eastAsia="zh-CN"/>
        </w:rPr>
        <w:t>6</w:t>
      </w:r>
      <w:r>
        <w:rPr>
          <w:rFonts w:hint="default" w:ascii="宋体" w:hAnsi="宋体" w:eastAsia="方正黑体_GBK" w:cs="Times New Roman"/>
          <w:sz w:val="32"/>
          <w:szCs w:val="32"/>
          <w:highlight w:val="none"/>
        </w:rPr>
        <w:t>年国民经济和社会发展主要预期目标安排</w:t>
      </w:r>
    </w:p>
    <w:p w14:paraId="51F8C9B9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ind w:left="0" w:leftChars="0" w:firstLine="640" w:firstLineChars="200"/>
        <w:textAlignment w:val="auto"/>
        <w:rPr>
          <w:rFonts w:hint="default" w:ascii="宋体" w:hAnsi="宋体" w:cs="Times New Roman"/>
          <w:color w:val="auto"/>
          <w:highlight w:val="none"/>
        </w:rPr>
      </w:pPr>
      <w:r>
        <w:rPr>
          <w:rFonts w:hint="default" w:ascii="宋体" w:hAnsi="宋体" w:cs="Times New Roman"/>
        </w:rPr>
        <w:t>2026年，我们将坚持以习近平新时代中国特色社会主义思想为指导，全面贯彻落实党的二十大和二十届历次全会精神，深入学习贯彻习近平总书记对江苏工作重要讲话精神，扎实推进科技创新、扩大内需、改善民生等各项重点工作，持续推动全区经济实现质的有效提升和量的合理增长。在近期召开的中央经济工作会议上，明确了新的一年“稳中求进、提质增效”的工作总基调，提出了做好2026年经济工作的“五大必须”和“五大关键着力点”，坚定了全党全国上下实现经济社会发展目标任务的意志和信心，我区也将狠抓落实，推动经济平稳向好发展。基于以上判断，2026年全区经济社会发展主要预</w:t>
      </w:r>
      <w:r>
        <w:rPr>
          <w:rFonts w:hint="default" w:ascii="宋体" w:hAnsi="宋体" w:cs="Times New Roman"/>
          <w:color w:val="auto"/>
          <w:highlight w:val="none"/>
        </w:rPr>
        <w:t>期目标建议安排如下：</w:t>
      </w:r>
    </w:p>
    <w:p w14:paraId="5F452FF7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ind w:left="0" w:leftChars="0" w:firstLine="640" w:firstLineChars="200"/>
        <w:textAlignment w:val="auto"/>
        <w:rPr>
          <w:rFonts w:hint="default" w:ascii="宋体" w:hAnsi="宋体" w:cs="Times New Roman"/>
          <w:color w:val="auto"/>
          <w:highlight w:val="none"/>
        </w:rPr>
      </w:pPr>
      <w:r>
        <w:rPr>
          <w:rFonts w:hint="eastAsia" w:ascii="宋体" w:hAnsi="宋体" w:cs="Times New Roman"/>
          <w:color w:val="auto"/>
          <w:highlight w:val="none"/>
          <w:lang w:eastAsia="zh-CN"/>
        </w:rPr>
        <w:t>1.</w:t>
      </w:r>
      <w:r>
        <w:rPr>
          <w:rFonts w:hint="default" w:ascii="宋体" w:hAnsi="宋体" w:cs="Times New Roman"/>
          <w:color w:val="auto"/>
          <w:highlight w:val="none"/>
        </w:rPr>
        <w:t>地区生产总值增长5%；</w:t>
      </w:r>
    </w:p>
    <w:p w14:paraId="6ECDD7FA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ind w:left="0" w:leftChars="0" w:firstLine="640" w:firstLineChars="200"/>
        <w:textAlignment w:val="auto"/>
        <w:rPr>
          <w:rFonts w:hint="default" w:ascii="宋体" w:hAnsi="宋体" w:cs="Times New Roman"/>
          <w:color w:val="auto"/>
          <w:highlight w:val="none"/>
        </w:rPr>
      </w:pPr>
      <w:r>
        <w:rPr>
          <w:rFonts w:hint="eastAsia" w:ascii="宋体" w:hAnsi="宋体" w:cs="Times New Roman"/>
          <w:color w:val="auto"/>
          <w:highlight w:val="none"/>
          <w:lang w:eastAsia="zh-CN"/>
        </w:rPr>
        <w:t>2.</w:t>
      </w:r>
      <w:r>
        <w:rPr>
          <w:rFonts w:hint="default" w:ascii="宋体" w:hAnsi="宋体" w:cs="Times New Roman"/>
          <w:color w:val="auto"/>
          <w:highlight w:val="none"/>
        </w:rPr>
        <w:t>一般公共预算收入正增长；</w:t>
      </w:r>
    </w:p>
    <w:p w14:paraId="06B36331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ind w:left="0" w:leftChars="0" w:firstLine="640" w:firstLineChars="200"/>
        <w:textAlignment w:val="auto"/>
        <w:rPr>
          <w:rFonts w:hint="default" w:ascii="宋体" w:hAnsi="宋体" w:cs="Times New Roman"/>
        </w:rPr>
      </w:pPr>
      <w:r>
        <w:rPr>
          <w:rFonts w:hint="eastAsia" w:ascii="宋体" w:hAnsi="宋体" w:cs="Times New Roman"/>
          <w:lang w:eastAsia="zh-CN"/>
        </w:rPr>
        <w:t>3.</w:t>
      </w:r>
      <w:r>
        <w:rPr>
          <w:rFonts w:hint="default" w:ascii="宋体" w:hAnsi="宋体" w:cs="Times New Roman"/>
        </w:rPr>
        <w:t>规模以上工业增加值增长5.5%左右；</w:t>
      </w:r>
    </w:p>
    <w:p w14:paraId="14115E92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ind w:left="0" w:leftChars="0" w:firstLine="640" w:firstLineChars="200"/>
        <w:textAlignment w:val="auto"/>
        <w:rPr>
          <w:rFonts w:hint="default" w:ascii="宋体" w:hAnsi="宋体" w:cs="Times New Roman"/>
        </w:rPr>
      </w:pPr>
      <w:r>
        <w:rPr>
          <w:rFonts w:hint="eastAsia" w:ascii="宋体" w:hAnsi="宋体" w:cs="Times New Roman"/>
          <w:lang w:eastAsia="zh-CN"/>
        </w:rPr>
        <w:t>4.</w:t>
      </w:r>
      <w:r>
        <w:rPr>
          <w:rFonts w:hint="default" w:ascii="宋体" w:hAnsi="宋体" w:cs="Times New Roman"/>
        </w:rPr>
        <w:t>社会消费品零售总额增长3.5%左右；</w:t>
      </w:r>
    </w:p>
    <w:p w14:paraId="49FE366D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ind w:left="0" w:leftChars="0" w:firstLine="640" w:firstLineChars="200"/>
        <w:textAlignment w:val="auto"/>
        <w:rPr>
          <w:rFonts w:hint="default" w:ascii="宋体" w:hAnsi="宋体" w:cs="Times New Roman"/>
        </w:rPr>
      </w:pPr>
      <w:r>
        <w:rPr>
          <w:rFonts w:hint="eastAsia" w:ascii="宋体" w:hAnsi="宋体" w:cs="Times New Roman"/>
          <w:lang w:eastAsia="zh-CN"/>
        </w:rPr>
        <w:t>5.</w:t>
      </w:r>
      <w:r>
        <w:rPr>
          <w:rFonts w:hint="default" w:ascii="宋体" w:hAnsi="宋体" w:cs="Times New Roman"/>
        </w:rPr>
        <w:t>外贸进出口稳中提质，实际使用外资提质增效；</w:t>
      </w:r>
    </w:p>
    <w:p w14:paraId="30E1FE9D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ind w:left="0" w:leftChars="0" w:firstLine="640" w:firstLineChars="200"/>
        <w:textAlignment w:val="auto"/>
        <w:rPr>
          <w:rFonts w:hint="default" w:ascii="宋体" w:hAnsi="宋体" w:cs="Times New Roman"/>
        </w:rPr>
      </w:pPr>
      <w:r>
        <w:rPr>
          <w:rFonts w:hint="eastAsia" w:ascii="宋体" w:hAnsi="宋体" w:cs="Times New Roman"/>
          <w:lang w:eastAsia="zh-CN"/>
        </w:rPr>
        <w:t>6.</w:t>
      </w:r>
      <w:r>
        <w:rPr>
          <w:rFonts w:hint="default" w:ascii="宋体" w:hAnsi="宋体" w:cs="Times New Roman"/>
        </w:rPr>
        <w:t>R&amp;D经费支出占GDP比重保持4%以上，高新技术产业产值占</w:t>
      </w:r>
      <w:r>
        <w:rPr>
          <w:rFonts w:hint="eastAsia" w:ascii="宋体" w:hAnsi="宋体" w:cs="Times New Roman"/>
          <w:lang w:eastAsia="zh-CN"/>
        </w:rPr>
        <w:t>规模以上</w:t>
      </w:r>
      <w:r>
        <w:rPr>
          <w:rFonts w:hint="default" w:ascii="宋体" w:hAnsi="宋体" w:cs="Times New Roman"/>
        </w:rPr>
        <w:t>工业总产值比重保持76%以上；</w:t>
      </w:r>
    </w:p>
    <w:p w14:paraId="599470FD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ind w:left="0" w:leftChars="0" w:firstLine="640" w:firstLineChars="200"/>
        <w:textAlignment w:val="auto"/>
        <w:rPr>
          <w:rFonts w:hint="default" w:ascii="宋体" w:hAnsi="宋体" w:cs="Times New Roman"/>
        </w:rPr>
      </w:pPr>
      <w:r>
        <w:rPr>
          <w:rFonts w:hint="eastAsia" w:ascii="宋体" w:hAnsi="宋体" w:cs="Times New Roman"/>
          <w:lang w:eastAsia="zh-CN"/>
        </w:rPr>
        <w:t>7.</w:t>
      </w:r>
      <w:r>
        <w:rPr>
          <w:rFonts w:hint="default" w:ascii="宋体" w:hAnsi="宋体" w:cs="Times New Roman"/>
        </w:rPr>
        <w:t>城镇新增就业人数1万人；</w:t>
      </w:r>
    </w:p>
    <w:p w14:paraId="3CC35502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ind w:left="0" w:leftChars="0" w:firstLine="640" w:firstLineChars="200"/>
        <w:textAlignment w:val="auto"/>
        <w:rPr>
          <w:rFonts w:hint="default" w:ascii="宋体" w:hAnsi="宋体" w:cs="Times New Roman"/>
        </w:rPr>
      </w:pPr>
      <w:r>
        <w:rPr>
          <w:rFonts w:hint="eastAsia" w:ascii="宋体" w:hAnsi="宋体" w:cs="Times New Roman"/>
          <w:lang w:eastAsia="zh-CN"/>
        </w:rPr>
        <w:t>8.</w:t>
      </w:r>
      <w:r>
        <w:rPr>
          <w:rFonts w:hint="default" w:ascii="宋体" w:hAnsi="宋体" w:cs="Times New Roman"/>
        </w:rPr>
        <w:t>居民人均可支配收入与经济增长基本同步；</w:t>
      </w:r>
    </w:p>
    <w:p w14:paraId="6DF1DD44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ind w:left="0" w:leftChars="0" w:firstLine="640" w:firstLineChars="200"/>
        <w:textAlignment w:val="auto"/>
        <w:rPr>
          <w:rFonts w:hint="default" w:ascii="宋体" w:hAnsi="宋体" w:cs="Times New Roman"/>
        </w:rPr>
      </w:pPr>
      <w:r>
        <w:rPr>
          <w:rFonts w:hint="eastAsia" w:ascii="宋体" w:hAnsi="宋体" w:cs="Times New Roman"/>
          <w:lang w:eastAsia="zh-CN"/>
        </w:rPr>
        <w:t>9.</w:t>
      </w:r>
      <w:r>
        <w:rPr>
          <w:rFonts w:hint="default" w:ascii="宋体" w:hAnsi="宋体" w:cs="Times New Roman"/>
        </w:rPr>
        <w:t>节能减排和大气、水环境质量等约束性指标确保完成市下达目标任务；</w:t>
      </w:r>
    </w:p>
    <w:p w14:paraId="4B00DE15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ind w:left="0" w:leftChars="0" w:firstLine="640" w:firstLineChars="200"/>
        <w:textAlignment w:val="auto"/>
        <w:rPr>
          <w:rFonts w:hint="default" w:ascii="宋体" w:hAnsi="宋体" w:cs="Times New Roman"/>
        </w:rPr>
      </w:pPr>
      <w:r>
        <w:rPr>
          <w:rFonts w:hint="eastAsia" w:ascii="宋体" w:hAnsi="宋体" w:cs="Times New Roman"/>
          <w:lang w:eastAsia="zh-CN"/>
        </w:rPr>
        <w:t>10.</w:t>
      </w:r>
      <w:r>
        <w:rPr>
          <w:rFonts w:hint="default" w:ascii="宋体" w:hAnsi="宋体" w:cs="Times New Roman"/>
        </w:rPr>
        <w:t>安全生产形势持续保持平稳。</w:t>
      </w:r>
    </w:p>
    <w:p w14:paraId="0FB9A46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2" w:lineRule="exact"/>
        <w:ind w:left="0" w:leftChars="0" w:firstLine="640" w:firstLineChars="200"/>
        <w:textAlignment w:val="auto"/>
        <w:outlineLvl w:val="0"/>
        <w:rPr>
          <w:rFonts w:hint="default" w:ascii="宋体" w:hAnsi="宋体" w:eastAsia="方正黑体_GBK" w:cs="Times New Roman"/>
          <w:sz w:val="32"/>
          <w:szCs w:val="32"/>
          <w:highlight w:val="none"/>
        </w:rPr>
      </w:pPr>
      <w:r>
        <w:rPr>
          <w:rFonts w:hint="default" w:ascii="宋体" w:hAnsi="宋体" w:eastAsia="方正黑体_GBK" w:cs="Times New Roman"/>
          <w:sz w:val="32"/>
          <w:szCs w:val="32"/>
          <w:highlight w:val="none"/>
        </w:rPr>
        <w:t>三、完成</w:t>
      </w:r>
      <w:r>
        <w:rPr>
          <w:rFonts w:hint="default" w:ascii="宋体" w:hAnsi="宋体" w:cs="Times New Roman" w:eastAsiaTheme="minorEastAsia"/>
          <w:sz w:val="32"/>
          <w:szCs w:val="32"/>
          <w:highlight w:val="none"/>
        </w:rPr>
        <w:t>202</w:t>
      </w:r>
      <w:r>
        <w:rPr>
          <w:rFonts w:hint="default" w:ascii="宋体" w:hAnsi="宋体" w:cs="Times New Roman" w:eastAsiaTheme="minorEastAsia"/>
          <w:sz w:val="32"/>
          <w:szCs w:val="32"/>
          <w:highlight w:val="none"/>
          <w:lang w:val="en-US" w:eastAsia="zh-CN"/>
        </w:rPr>
        <w:t>6</w:t>
      </w:r>
      <w:r>
        <w:rPr>
          <w:rFonts w:hint="default" w:ascii="宋体" w:hAnsi="宋体" w:eastAsia="方正黑体_GBK" w:cs="Times New Roman"/>
          <w:sz w:val="32"/>
          <w:szCs w:val="32"/>
          <w:highlight w:val="none"/>
        </w:rPr>
        <w:t>年国民经济和社会发展计划的主要措施</w:t>
      </w:r>
    </w:p>
    <w:p w14:paraId="63F9A857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ind w:left="0" w:leftChars="0" w:firstLine="640" w:firstLineChars="200"/>
        <w:textAlignment w:val="auto"/>
        <w:rPr>
          <w:rFonts w:hint="default" w:ascii="宋体" w:hAnsi="宋体" w:cs="Times New Roman"/>
        </w:rPr>
      </w:pPr>
      <w:r>
        <w:rPr>
          <w:rFonts w:hint="default" w:ascii="宋体" w:hAnsi="宋体" w:cs="Times New Roman"/>
        </w:rPr>
        <w:t>2026年是实施“十五五”规划的开局之年，</w:t>
      </w:r>
      <w:r>
        <w:rPr>
          <w:rFonts w:hint="default" w:ascii="宋体" w:hAnsi="宋体" w:cs="Times New Roman"/>
          <w:lang w:val="en-US" w:eastAsia="zh-CN"/>
        </w:rPr>
        <w:t>全区将坚决贯彻落实区委、区政府决策部署，稳中求进、提质增效，巩固拓展经济回升向好势头，因地制宜发展新质生产力，</w:t>
      </w:r>
      <w:r>
        <w:rPr>
          <w:rFonts w:hint="default" w:ascii="宋体" w:hAnsi="宋体" w:cs="Times New Roman"/>
        </w:rPr>
        <w:t>奋力谱写“强富美高”新无锡现代化建设的滨湖</w:t>
      </w:r>
      <w:r>
        <w:rPr>
          <w:rFonts w:hint="default" w:ascii="宋体" w:hAnsi="宋体" w:cs="Times New Roman"/>
          <w:lang w:val="en-US" w:eastAsia="zh-CN"/>
        </w:rPr>
        <w:t>新</w:t>
      </w:r>
      <w:r>
        <w:rPr>
          <w:rFonts w:hint="default" w:ascii="宋体" w:hAnsi="宋体" w:cs="Times New Roman"/>
        </w:rPr>
        <w:t>篇章。</w:t>
      </w:r>
    </w:p>
    <w:p w14:paraId="550C038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2" w:lineRule="exact"/>
        <w:ind w:left="0" w:leftChars="0" w:firstLine="640" w:firstLineChars="200"/>
        <w:textAlignment w:val="auto"/>
        <w:outlineLvl w:val="1"/>
        <w:rPr>
          <w:rFonts w:hint="default" w:ascii="宋体" w:hAnsi="宋体" w:eastAsia="方正楷体_GBK" w:cs="Times New Roman"/>
          <w:sz w:val="32"/>
          <w:szCs w:val="32"/>
          <w:highlight w:val="none"/>
          <w:lang w:val="en-US" w:eastAsia="zh-CN"/>
        </w:rPr>
      </w:pPr>
      <w:r>
        <w:rPr>
          <w:rFonts w:hint="default" w:ascii="宋体" w:hAnsi="宋体" w:eastAsia="方正楷体_GBK" w:cs="Times New Roman"/>
          <w:sz w:val="32"/>
          <w:szCs w:val="32"/>
          <w:highlight w:val="none"/>
          <w:lang w:val="en-US" w:eastAsia="zh-CN"/>
        </w:rPr>
        <w:t>（一）抓项目、拓需求，夯实回升向好基础</w:t>
      </w:r>
    </w:p>
    <w:p w14:paraId="433A52E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2" w:lineRule="exact"/>
        <w:ind w:firstLine="643" w:firstLineChars="200"/>
        <w:textAlignment w:val="auto"/>
        <w:rPr>
          <w:rFonts w:hint="default" w:ascii="宋体" w:hAnsi="宋体" w:eastAsia="方正仿宋_GBK" w:cs="Times New Roman"/>
          <w:sz w:val="32"/>
          <w:szCs w:val="32"/>
          <w:highlight w:val="none"/>
          <w:lang w:val="en-US" w:eastAsia="zh-CN"/>
        </w:rPr>
      </w:pPr>
      <w:r>
        <w:rPr>
          <w:rFonts w:hint="default" w:ascii="宋体" w:hAnsi="宋体" w:eastAsia="方正仿宋_GBK" w:cs="Times New Roman"/>
          <w:b/>
          <w:bCs/>
          <w:sz w:val="32"/>
          <w:szCs w:val="32"/>
          <w:highlight w:val="none"/>
          <w:lang w:val="en-US" w:eastAsia="zh-CN"/>
        </w:rPr>
        <w:t>提升经济运行监测效能。</w:t>
      </w:r>
      <w:r>
        <w:rPr>
          <w:rStyle w:val="13"/>
          <w:rFonts w:hint="default" w:ascii="宋体" w:hAnsi="宋体" w:cs="Times New Roman"/>
          <w:lang w:val="en-US" w:eastAsia="zh-CN"/>
        </w:rPr>
        <w:t>密切关注国内外经济形势和宏观政策导向变化，健全完善“多维研判、分级预警”经济运行监测体系，紧盯各行业企业生产经营质效，深化企业利润、社会就业、市场主体活力等结构性指标分析，及时洞察经济运行的潜在风险和机遇挑战，进一步提升经济运行的即时感知度和研判精准度。高效挖掘经济新增长点，做优增量、盘活存量，及时兑现各类技改投入奖励，智改数转赋能传统产业转型升级，强化稳增长、稳预期政策预研储备，推动更多助企政策见实见效。</w:t>
      </w:r>
      <w:r>
        <w:rPr>
          <w:rFonts w:hint="default" w:ascii="宋体" w:hAnsi="宋体" w:eastAsia="方正仿宋_GBK" w:cs="Times New Roman"/>
          <w:b/>
          <w:bCs/>
          <w:sz w:val="32"/>
          <w:szCs w:val="32"/>
          <w:highlight w:val="none"/>
          <w:lang w:val="en-US" w:eastAsia="zh-CN"/>
        </w:rPr>
        <w:t>项目筑基夯实投资支撑。</w:t>
      </w:r>
      <w:r>
        <w:rPr>
          <w:rStyle w:val="13"/>
          <w:rFonts w:hint="default" w:ascii="宋体" w:hAnsi="宋体" w:cs="Times New Roman"/>
          <w:lang w:val="en-US" w:eastAsia="zh-CN"/>
        </w:rPr>
        <w:t>持续优化重大项目全生命周期管理机制，加快推动欧保新能源等已供地项目尽早开工纳统，鼓励民间资本参与重大项目建设，推动固定资产投资</w:t>
      </w:r>
      <w:r>
        <w:rPr>
          <w:rStyle w:val="13"/>
          <w:rFonts w:hint="eastAsia" w:ascii="宋体" w:hAnsi="宋体" w:cs="Times New Roman"/>
          <w:lang w:val="en-US" w:eastAsia="zh-CN"/>
        </w:rPr>
        <w:t>提质增效</w:t>
      </w:r>
      <w:r>
        <w:rPr>
          <w:rStyle w:val="13"/>
          <w:rFonts w:hint="default" w:ascii="宋体" w:hAnsi="宋体" w:cs="Times New Roman"/>
          <w:lang w:val="en-US" w:eastAsia="zh-CN"/>
        </w:rPr>
        <w:t>。高效运行区级招商工作机制，设立全生命周期基金，摸清成熟地块“存量家底”，通过以商引商、资本招商、场景招商等多元方式，全年新招引10亿元以上重大产业项目不少于10个、其中50亿元以上项目1个。充分把握中央预算内资金、超长期特别国债等政策性工具，围绕深远海装备无锡研发基地、光刻胶公共研发测试平台、民用航空电子产业园等平台新孵化、新投资项目，争取更多政策支持和资源倾斜。</w:t>
      </w:r>
      <w:r>
        <w:rPr>
          <w:rFonts w:hint="default" w:ascii="宋体" w:hAnsi="宋体" w:eastAsia="方正仿宋_GBK" w:cs="Times New Roman"/>
          <w:b/>
          <w:bCs/>
          <w:sz w:val="32"/>
          <w:szCs w:val="32"/>
          <w:highlight w:val="none"/>
          <w:lang w:val="en-US" w:eastAsia="zh-CN"/>
        </w:rPr>
        <w:t>拓展场景释放消费潜能。</w:t>
      </w:r>
      <w:r>
        <w:rPr>
          <w:rStyle w:val="13"/>
          <w:rFonts w:hint="default" w:ascii="宋体" w:hAnsi="宋体" w:cs="Times New Roman"/>
          <w:lang w:val="en-US" w:eastAsia="zh-CN"/>
        </w:rPr>
        <w:t>聚焦“一核两翼多点”现代化商圈体系，紧扣户外运动、非标商业、网红打卡点等消费新趋势，加快“来福士·界”商业综合体开工建设，鼓励荣巷历史文化街区、太湖新光、湖滨商业街等商业街区引进首店、首发、首秀、首展等项目，发展壮大“谷子经济”“夜间经济”“它经济”，推动空间赋能与业态创新深度融合。多措并举促进消费扩容提质，协同联动区内批零、住餐、房地产等重点行业，靶向定制个性化惠民消费券包，有序开展房票使用、人才购房券等住房促销活动，有效释放汽车、住房、家电、餐饮等重点消费需求。</w:t>
      </w:r>
    </w:p>
    <w:p w14:paraId="4864C0F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2" w:lineRule="exact"/>
        <w:ind w:firstLine="640" w:firstLineChars="200"/>
        <w:textAlignment w:val="auto"/>
        <w:outlineLvl w:val="1"/>
        <w:rPr>
          <w:rFonts w:hint="default" w:ascii="宋体" w:hAnsi="宋体" w:eastAsia="方正楷体_GBK" w:cs="Times New Roman"/>
          <w:sz w:val="32"/>
          <w:szCs w:val="32"/>
          <w:highlight w:val="none"/>
          <w:lang w:val="en-US" w:eastAsia="zh-CN"/>
        </w:rPr>
      </w:pPr>
      <w:r>
        <w:rPr>
          <w:rFonts w:hint="default" w:ascii="宋体" w:hAnsi="宋体" w:eastAsia="方正楷体_GBK" w:cs="Times New Roman"/>
          <w:sz w:val="32"/>
          <w:szCs w:val="32"/>
          <w:highlight w:val="none"/>
          <w:lang w:val="en-US" w:eastAsia="zh-CN"/>
        </w:rPr>
        <w:t>（二）兴科技、重创新，放大科创策源功能</w:t>
      </w:r>
    </w:p>
    <w:p w14:paraId="7CBA98F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2" w:lineRule="exact"/>
        <w:ind w:firstLine="643" w:firstLineChars="200"/>
        <w:textAlignment w:val="auto"/>
        <w:rPr>
          <w:rFonts w:hint="default" w:ascii="宋体" w:hAnsi="宋体" w:eastAsia="方正仿宋_GBK" w:cs="Times New Roman"/>
          <w:sz w:val="32"/>
          <w:szCs w:val="32"/>
        </w:rPr>
      </w:pPr>
      <w:r>
        <w:rPr>
          <w:rFonts w:hint="default" w:ascii="宋体" w:hAnsi="宋体" w:eastAsia="方正仿宋_GBK" w:cs="Times New Roman"/>
          <w:b/>
          <w:bCs/>
          <w:sz w:val="32"/>
          <w:szCs w:val="32"/>
          <w:highlight w:val="none"/>
          <w:lang w:val="en-US" w:eastAsia="zh-CN"/>
        </w:rPr>
        <w:t>打造山水科创高地。</w:t>
      </w:r>
      <w:r>
        <w:rPr>
          <w:rStyle w:val="13"/>
          <w:rFonts w:hint="default" w:ascii="宋体" w:hAnsi="宋体" w:cs="Times New Roman"/>
          <w:lang w:val="en-US" w:eastAsia="zh-CN"/>
        </w:rPr>
        <w:t>提标建设山水东路科创谷，围绕“科产融合发展特区”目标定位，积极构建“1+3+X”新质生产力集群矩阵，重点推进民用航空电子产业园、申威信创产业园等特色园区建设，加快推动太湖实验室生态适配基地、南京大学“擎天工程”、华立聚能核聚变堆等科技研发基础设施进度，提速推进太湖自然资源博物馆、吴塘门创意园等重要节点建设。以院所衍生项目“内孵”和优质科创项目“外引”为抓手，高标准导入科创产业资源，谋划争取更多省级以上重大科技创新平台落子布局，打造“高创新度、高集聚度、高标识度”的“太湖之眼”。</w:t>
      </w:r>
      <w:r>
        <w:rPr>
          <w:rFonts w:hint="default" w:ascii="宋体" w:hAnsi="宋体" w:eastAsia="方正仿宋_GBK" w:cs="Times New Roman"/>
          <w:b/>
          <w:bCs/>
          <w:sz w:val="32"/>
          <w:szCs w:val="32"/>
          <w:highlight w:val="none"/>
          <w:lang w:val="en-US" w:eastAsia="zh-CN"/>
        </w:rPr>
        <w:t>壮大创新主体梯队。</w:t>
      </w:r>
      <w:r>
        <w:rPr>
          <w:rStyle w:val="13"/>
          <w:rFonts w:hint="default" w:ascii="宋体" w:hAnsi="宋体" w:cs="Times New Roman"/>
        </w:rPr>
        <w:t>建立科技型中小企业常态化发掘和跟踪服务机制，坚持分层分类、精准施策，构建全链条、递进式培育体系，加速创新型企业集群规模壮大与能级提升。实施高企培育“跃升行动”，靶向引进高水平创新人才和团队，推进高新技术企业量质稳步提升。围绕集成电路设计、海空核心部件等领域，强化院所产业协同发展，全力招引龙头链主和细分行业骨干企业，加快形成优势产业集群，持续提升院所经济贡献。聚焦凯美锡科技、东方船研等高成长性高校院所关联企业，通过政策引导、资源倾斜、专属服务保障，打通高校、院所和企业科研成果转化路径，提升院所产业链配套企业的科技内核实力。</w:t>
      </w:r>
      <w:r>
        <w:rPr>
          <w:rFonts w:hint="default" w:ascii="宋体" w:hAnsi="宋体" w:eastAsia="方正仿宋_GBK" w:cs="Times New Roman"/>
          <w:b/>
          <w:bCs/>
          <w:sz w:val="32"/>
          <w:szCs w:val="32"/>
          <w:highlight w:val="none"/>
          <w:lang w:val="en-US" w:eastAsia="zh-CN"/>
        </w:rPr>
        <w:t>精耕细作载体平台。</w:t>
      </w:r>
      <w:r>
        <w:rPr>
          <w:rStyle w:val="13"/>
          <w:rFonts w:hint="default" w:ascii="宋体" w:hAnsi="宋体" w:cs="Times New Roman"/>
        </w:rPr>
        <w:t>深化与清华无锡研究院等创新载体合作共建，全力支持光量子芯片、实海验证等中试平台建设，构建完善“平台支撑</w:t>
      </w:r>
      <w:r>
        <w:rPr>
          <w:rStyle w:val="13"/>
          <w:rFonts w:hint="eastAsia" w:ascii="宋体" w:hAnsi="宋体" w:cs="Times New Roman"/>
          <w:lang w:eastAsia="zh-CN"/>
        </w:rPr>
        <w:t>－</w:t>
      </w:r>
      <w:r>
        <w:rPr>
          <w:rStyle w:val="13"/>
          <w:rFonts w:hint="default" w:ascii="宋体" w:hAnsi="宋体" w:cs="Times New Roman"/>
        </w:rPr>
        <w:t>中试验证</w:t>
      </w:r>
      <w:r>
        <w:rPr>
          <w:rStyle w:val="13"/>
          <w:rFonts w:hint="eastAsia" w:ascii="宋体" w:hAnsi="宋体" w:cs="Times New Roman"/>
          <w:lang w:eastAsia="zh-CN"/>
        </w:rPr>
        <w:t>－</w:t>
      </w:r>
      <w:r>
        <w:rPr>
          <w:rStyle w:val="13"/>
          <w:rFonts w:hint="default" w:ascii="宋体" w:hAnsi="宋体" w:cs="Times New Roman"/>
        </w:rPr>
        <w:t>场景应用”全链条转化机制，提升技术熟化与成果推广能力，打造省市重点实验室、概念验证中心、中试服务平台等5家以上。推动太湖湾车联网创新中心实质化运营，开展智能网联汽车关键技术测试验证。加快推动聚芯源创产业园、粤浦·富安智造园等在建载体项目竣工投用，引导园区超前谋划孵化器、众创空间等平台。鼓励引导有能力的企业牵头组建创新联合体、工程技术研究中心不少于30家。</w:t>
      </w:r>
    </w:p>
    <w:p w14:paraId="743245F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2" w:lineRule="exact"/>
        <w:ind w:firstLine="640" w:firstLineChars="200"/>
        <w:textAlignment w:val="auto"/>
        <w:outlineLvl w:val="1"/>
        <w:rPr>
          <w:rFonts w:hint="default" w:ascii="宋体" w:hAnsi="宋体" w:eastAsia="方正楷体_GBK" w:cs="Times New Roman"/>
          <w:sz w:val="32"/>
          <w:szCs w:val="32"/>
          <w:highlight w:val="none"/>
          <w:lang w:val="en-US" w:eastAsia="zh-CN"/>
        </w:rPr>
      </w:pPr>
      <w:r>
        <w:rPr>
          <w:rFonts w:hint="default" w:ascii="宋体" w:hAnsi="宋体" w:eastAsia="方正楷体_GBK" w:cs="Times New Roman"/>
          <w:sz w:val="32"/>
          <w:szCs w:val="32"/>
          <w:highlight w:val="none"/>
          <w:lang w:val="en-US" w:eastAsia="zh-CN"/>
        </w:rPr>
        <w:t>（三）谋产业、促转型，激发实体经济活力</w:t>
      </w:r>
    </w:p>
    <w:p w14:paraId="1A0F8C15"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315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after="0" w:line="592" w:lineRule="exact"/>
        <w:ind w:firstLine="643" w:firstLineChars="200"/>
        <w:textAlignment w:val="auto"/>
        <w:rPr>
          <w:rFonts w:hint="default" w:ascii="宋体" w:hAnsi="宋体" w:eastAsia="方正仿宋_GBK" w:cs="Times New Roman"/>
          <w:sz w:val="32"/>
          <w:szCs w:val="32"/>
          <w:highlight w:val="none"/>
          <w:lang w:val="en-US" w:eastAsia="zh-CN"/>
        </w:rPr>
      </w:pPr>
      <w:r>
        <w:rPr>
          <w:rFonts w:hint="default" w:ascii="宋体" w:hAnsi="宋体" w:eastAsia="方正仿宋_GBK" w:cs="Times New Roman"/>
          <w:b/>
          <w:bCs/>
          <w:sz w:val="32"/>
          <w:szCs w:val="32"/>
          <w:highlight w:val="none"/>
          <w:lang w:val="en-US" w:eastAsia="zh-CN"/>
        </w:rPr>
        <w:t>打造产业集群增长极。</w:t>
      </w:r>
      <w:r>
        <w:rPr>
          <w:rStyle w:val="13"/>
          <w:rFonts w:hint="default" w:ascii="宋体" w:hAnsi="宋体" w:cs="Times New Roman"/>
          <w:lang w:val="en-US" w:eastAsia="zh-CN"/>
        </w:rPr>
        <w:t>系统焕新太湖湾科创带引领区产业政策，围绕不同产业发展特性和企业实际需求，制定差异化支持举措，持续拓展高端医疗器械、集成电路装备等细分领域，做大做强生命健康、集成电路等优势产业。深耕人工智能、量子科技等未来产业发展，加大对量子通信核心器件、算法开发、智能设备等重点环节支持力度，确保未来产业营收增长15%以上。节点化推进锡芯谷汽车电子、九龙湾专精特新等在建园区建设，加快推动蠡湖未来城AI、复星人形机器人等新园区产业导入，放大申威信创、健适高端医疗装备等标杆园区品牌虹吸效应。培育国家级专精特新“小巨人”企业、制造业单项冠军企业10家以上。</w:t>
      </w:r>
      <w:r>
        <w:rPr>
          <w:rFonts w:hint="default" w:ascii="宋体" w:hAnsi="宋体" w:eastAsia="方正仿宋_GBK" w:cs="Times New Roman"/>
          <w:b/>
          <w:bCs/>
          <w:sz w:val="32"/>
          <w:szCs w:val="32"/>
          <w:highlight w:val="none"/>
          <w:lang w:val="en-US" w:eastAsia="zh-CN"/>
        </w:rPr>
        <w:t>提升“两业融合”协同度。</w:t>
      </w:r>
      <w:r>
        <w:rPr>
          <w:rStyle w:val="13"/>
          <w:rFonts w:hint="default" w:ascii="宋体" w:hAnsi="宋体" w:cs="Times New Roman"/>
          <w:lang w:val="en-US" w:eastAsia="zh-CN"/>
        </w:rPr>
        <w:t>引导信捷电气等制造</w:t>
      </w:r>
      <w:r>
        <w:rPr>
          <w:rStyle w:val="13"/>
          <w:rFonts w:hint="eastAsia" w:ascii="宋体" w:hAnsi="宋体" w:cs="Times New Roman"/>
          <w:lang w:val="en-US" w:eastAsia="zh-CN"/>
        </w:rPr>
        <w:t>业</w:t>
      </w:r>
      <w:r>
        <w:rPr>
          <w:rStyle w:val="13"/>
          <w:rFonts w:hint="default" w:ascii="宋体" w:hAnsi="宋体" w:cs="Times New Roman"/>
          <w:lang w:val="en-US" w:eastAsia="zh-CN"/>
        </w:rPr>
        <w:t>企业向“制造+服务”转型，加速服务模式创新，积极推动工业设计园争创国家级两业融合试点。推动生产性服务业发展，引导科技服务、数字信息、工业设计、商务服务等重点领域集聚发展。制定出台生产性服务业专项政策，优化企业培育、项目建设、融资并购、场景平台等相关服务，围绕各环节需求，培育一批生产性服务业领军企业，全年</w:t>
      </w:r>
      <w:r>
        <w:rPr>
          <w:rStyle w:val="13"/>
          <w:rFonts w:hint="eastAsia" w:ascii="宋体" w:hAnsi="宋体" w:cs="Times New Roman"/>
          <w:lang w:val="en-US" w:eastAsia="zh-CN"/>
        </w:rPr>
        <w:t>规模以上</w:t>
      </w:r>
      <w:r>
        <w:rPr>
          <w:rStyle w:val="13"/>
          <w:rFonts w:hint="default" w:ascii="宋体" w:hAnsi="宋体" w:cs="Times New Roman"/>
          <w:lang w:val="en-US" w:eastAsia="zh-CN"/>
        </w:rPr>
        <w:t>生产性服务业营收增长7%左右。重点提升“太湖108廊道”文旅品牌影响力、知名度，持续放大“3+X”赛事体系流量效应，推动传统景区开发新技术应用，布局打造山水西路最美湖岸线等重点休闲场景。加快无锡国家数字电影产业园“一园三中心”建设，市场化运营5G智慧虚拟摄影联合实验室，发力推动数字影视“出海”，培育扩大微短剧产业规模，争创国家广播电视和网络视听产业基地。</w:t>
      </w:r>
      <w:r>
        <w:rPr>
          <w:rFonts w:hint="default" w:ascii="宋体" w:hAnsi="宋体" w:eastAsia="方正仿宋_GBK" w:cs="Times New Roman"/>
          <w:b/>
          <w:bCs/>
          <w:sz w:val="32"/>
          <w:szCs w:val="32"/>
          <w:highlight w:val="none"/>
          <w:lang w:val="en-US" w:eastAsia="zh-CN"/>
        </w:rPr>
        <w:t>跑出转型升级加速度。</w:t>
      </w:r>
      <w:r>
        <w:rPr>
          <w:rStyle w:val="13"/>
          <w:rFonts w:hint="default" w:ascii="宋体" w:hAnsi="宋体" w:cs="Times New Roman"/>
          <w:lang w:val="en-US" w:eastAsia="zh-CN"/>
        </w:rPr>
        <w:t>迭代升级传统产业，深入推进“千企技改”工程，瞄准传统行业高附加值细分环节，引导企业加大新技术、新工艺、新设备研发投入，确保全年技改投资不少于25亿元。扎实开展新一轮智改数转网联三年行动，构建“基础级</w:t>
      </w:r>
      <w:r>
        <w:rPr>
          <w:rStyle w:val="13"/>
          <w:rFonts w:hint="eastAsia" w:ascii="宋体" w:hAnsi="宋体" w:cs="Times New Roman"/>
          <w:lang w:val="en-US" w:eastAsia="zh-CN"/>
        </w:rPr>
        <w:t>－</w:t>
      </w:r>
      <w:r>
        <w:rPr>
          <w:rStyle w:val="13"/>
          <w:rFonts w:hint="default" w:ascii="宋体" w:hAnsi="宋体" w:cs="Times New Roman"/>
          <w:lang w:val="en-US" w:eastAsia="zh-CN"/>
        </w:rPr>
        <w:t>先进级-卓越级-领航级”智能工厂梯次培育库，新增卓越级和先进级智能工厂15家。推动“人工智能+”和“</w:t>
      </w:r>
      <w:r>
        <w:rPr>
          <w:rStyle w:val="13"/>
          <w:rFonts w:hint="default" w:ascii="宋体" w:hAnsi="宋体" w:cs="Times New Roman"/>
          <w:sz w:val="32"/>
          <w:lang w:val="en-US" w:eastAsia="zh-CN"/>
        </w:rPr>
        <w:t>数据要素×</w:t>
      </w:r>
      <w:r>
        <w:rPr>
          <w:rStyle w:val="13"/>
          <w:rFonts w:hint="default" w:ascii="宋体" w:hAnsi="宋体" w:cs="Times New Roman"/>
          <w:lang w:val="en-US" w:eastAsia="zh-CN"/>
        </w:rPr>
        <w:t>”融合发展，助力贝斯特、派克新材等龙头企业打造省企业级、行业级工业互联网平台，规模以上数字经济核心产业营收突破250亿元。持续推进低效用地再开发，攻坚胡埭工业园、南泉科技园等重点片区，新增可利用工业净地500亩</w:t>
      </w:r>
      <w:r>
        <w:rPr>
          <w:rFonts w:hint="default" w:ascii="宋体" w:hAnsi="宋体" w:eastAsia="方正仿宋_GBK" w:cs="Times New Roman"/>
          <w:sz w:val="32"/>
          <w:szCs w:val="32"/>
          <w:highlight w:val="none"/>
          <w:lang w:val="en-US" w:eastAsia="zh-CN"/>
        </w:rPr>
        <w:t>。</w:t>
      </w:r>
    </w:p>
    <w:p w14:paraId="5F04930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2" w:lineRule="exact"/>
        <w:ind w:firstLine="640" w:firstLineChars="200"/>
        <w:textAlignment w:val="auto"/>
        <w:outlineLvl w:val="1"/>
        <w:rPr>
          <w:rFonts w:hint="default" w:ascii="宋体" w:hAnsi="宋体" w:eastAsia="方正楷体_GBK" w:cs="Times New Roman"/>
          <w:sz w:val="32"/>
          <w:szCs w:val="32"/>
          <w:highlight w:val="none"/>
          <w:lang w:val="en-US" w:eastAsia="zh-CN"/>
        </w:rPr>
      </w:pPr>
      <w:r>
        <w:rPr>
          <w:rFonts w:hint="default" w:ascii="宋体" w:hAnsi="宋体" w:eastAsia="方正楷体_GBK" w:cs="Times New Roman"/>
          <w:sz w:val="32"/>
          <w:szCs w:val="32"/>
          <w:highlight w:val="none"/>
          <w:lang w:val="en-US" w:eastAsia="zh-CN"/>
        </w:rPr>
        <w:t>（四）促改革、扩开放，提升区域发展能级</w:t>
      </w:r>
    </w:p>
    <w:p w14:paraId="539D190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2" w:lineRule="exact"/>
        <w:ind w:firstLine="643" w:firstLineChars="200"/>
        <w:textAlignment w:val="auto"/>
        <w:rPr>
          <w:rFonts w:hint="default" w:ascii="宋体" w:hAnsi="宋体" w:eastAsia="方正仿宋_GBK" w:cs="Times New Roman"/>
          <w:sz w:val="32"/>
          <w:szCs w:val="32"/>
          <w:highlight w:val="none"/>
          <w:lang w:val="en-US" w:eastAsia="zh-CN"/>
        </w:rPr>
      </w:pPr>
      <w:r>
        <w:rPr>
          <w:rFonts w:hint="default" w:ascii="宋体" w:hAnsi="宋体" w:eastAsia="方正仿宋_GBK" w:cs="Times New Roman"/>
          <w:b/>
          <w:bCs/>
          <w:sz w:val="32"/>
          <w:szCs w:val="32"/>
          <w:highlight w:val="none"/>
          <w:lang w:val="en-US" w:eastAsia="zh-CN"/>
        </w:rPr>
        <w:t>精准优化为企服务。</w:t>
      </w:r>
      <w:r>
        <w:rPr>
          <w:rStyle w:val="13"/>
          <w:rFonts w:hint="default" w:ascii="宋体" w:hAnsi="宋体" w:cs="Times New Roman"/>
          <w:lang w:val="en-US" w:eastAsia="zh-CN"/>
        </w:rPr>
        <w:t>持续深化“放管服”改革，拓展“高效办成一件事”范围，强化数字赋能与数据共享，实现跨部门“一件事”并联审批和精准服务。树牢“无事业不产业”理念，研究出台“四上”等重点企业对接服务机制，构建部门“找问题”的主动服务机制，对企业痛点“未诉先办”。升级打造锡企服务平台滨湖旗舰店，通过“统一门户+智能导办+数据融通”，实现“登录一个平台、办妥所有业务”。深入推进自然资源要素配置改革，加快闲置土地和批而未供土地处置，深化“一网通办”“三提三即”等改革，实现更多项目“拿地即开工”“竣工即发证”。拓宽闲置资源资产化处置渠道，探索通过CMBS、类REITs等金融工具实现资产证券化运作，切实增强国有资产盘活以及处置实效</w:t>
      </w:r>
      <w:bookmarkStart w:id="0" w:name="_GoBack"/>
      <w:bookmarkEnd w:id="0"/>
      <w:r>
        <w:rPr>
          <w:rFonts w:hint="eastAsia" w:ascii="宋体" w:hAnsi="宋体" w:cs="Times New Roman"/>
          <w:color w:val="auto"/>
          <w:sz w:val="32"/>
          <w:szCs w:val="32"/>
          <w:highlight w:val="none"/>
          <w:lang w:eastAsia="zh-CN"/>
        </w:rPr>
        <w:t>。</w:t>
      </w:r>
      <w:r>
        <w:rPr>
          <w:rFonts w:hint="default" w:ascii="宋体" w:hAnsi="宋体" w:eastAsia="方正仿宋_GBK" w:cs="Times New Roman"/>
          <w:b/>
          <w:bCs/>
          <w:color w:val="auto"/>
          <w:sz w:val="32"/>
          <w:szCs w:val="32"/>
          <w:highlight w:val="none"/>
          <w:lang w:val="en-US" w:eastAsia="zh-CN"/>
        </w:rPr>
        <w:t>深入落实重大战略</w:t>
      </w:r>
      <w:r>
        <w:rPr>
          <w:rFonts w:hint="default" w:ascii="宋体" w:hAnsi="宋体" w:eastAsia="方正仿宋_GBK" w:cs="Times New Roman"/>
          <w:b/>
          <w:bCs/>
          <w:sz w:val="32"/>
          <w:szCs w:val="32"/>
          <w:highlight w:val="none"/>
          <w:lang w:val="en-US" w:eastAsia="zh-CN"/>
        </w:rPr>
        <w:t>。</w:t>
      </w:r>
      <w:r>
        <w:rPr>
          <w:rStyle w:val="13"/>
          <w:rFonts w:hint="default" w:ascii="宋体" w:hAnsi="宋体" w:cs="Times New Roman"/>
          <w:lang w:val="en-US" w:eastAsia="zh-CN"/>
        </w:rPr>
        <w:t>积极参与长三角—粤港澳（无锡）科创产业融合发展区建设，主动寻求与京津冀、粤港澳、西三角等地一流科研院所和高等院校的战略合作，聚焦产业体系和产业链需求，开展关键技术联合攻关，推动更多前沿创新成果在滨湖转化落地。全面对接省、市一体化发展战略，积极融入苏锡常都市圈建设，保障锡宜协同发展大局，协调配合苏锡太湖通道、锡宜城际S2线轨道交通等重大工程建设，加快构建内畅外联、高效便捷的开放交通通道，夯实区域发展支撑。持续深化“五湾五城”融合发展，因地制宜推进全域功能区建设，深化推动重点片区实现功能互补与能级跃升。</w:t>
      </w:r>
      <w:r>
        <w:rPr>
          <w:rFonts w:hint="default" w:ascii="宋体" w:hAnsi="宋体" w:eastAsia="方正仿宋_GBK" w:cs="Times New Roman"/>
          <w:b/>
          <w:bCs/>
          <w:sz w:val="32"/>
          <w:szCs w:val="32"/>
          <w:highlight w:val="none"/>
          <w:lang w:val="en-US" w:eastAsia="zh-CN"/>
        </w:rPr>
        <w:t>加快发展外向型经济。</w:t>
      </w:r>
      <w:r>
        <w:rPr>
          <w:rStyle w:val="13"/>
          <w:rFonts w:hint="default" w:ascii="宋体" w:hAnsi="宋体" w:cs="Times New Roman"/>
          <w:lang w:val="en-US" w:eastAsia="zh-CN"/>
        </w:rPr>
        <w:t>聚焦华瑞制药等重点企业需求，全面落实海关AEO高级认证、生物医药研发用物品及战略性新兴产业危险化学品进口“白名单”等跨境贸易便利化举措。引导企业合理规划境外投资和贸易路径，加强对“一带一路”、RCEP等新兴市场的拓展支持。持续推进“1134”跨境电商提质增效工程，加强跨境电商政策支持，持续完善恒信跨境电商产业园公共服务体系，打造跨境电商集聚地。积极开展外企三个“敲门行动”，依托锡洲国际、盛泰等QFLP基金，支持存量企业增资扩股壮大产业规模。紧抓服务业全面扩大开放政策机遇，梳理制定服务业外资招商清单。</w:t>
      </w:r>
    </w:p>
    <w:p w14:paraId="311C285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2" w:lineRule="exact"/>
        <w:ind w:firstLine="640" w:firstLineChars="200"/>
        <w:textAlignment w:val="auto"/>
        <w:outlineLvl w:val="1"/>
        <w:rPr>
          <w:rFonts w:hint="default" w:ascii="宋体" w:hAnsi="宋体" w:eastAsia="方正楷体_GBK" w:cs="Times New Roman"/>
          <w:sz w:val="32"/>
          <w:szCs w:val="32"/>
          <w:highlight w:val="none"/>
          <w:lang w:val="en-US" w:eastAsia="zh-CN"/>
        </w:rPr>
      </w:pPr>
      <w:r>
        <w:rPr>
          <w:rFonts w:hint="default" w:ascii="宋体" w:hAnsi="宋体" w:eastAsia="方正楷体_GBK" w:cs="Times New Roman"/>
          <w:sz w:val="32"/>
          <w:szCs w:val="32"/>
          <w:highlight w:val="none"/>
          <w:lang w:val="en-US" w:eastAsia="zh-CN"/>
        </w:rPr>
        <w:t>（五）提品质、塑形象，焕发城乡面貌新彩</w:t>
      </w:r>
    </w:p>
    <w:p w14:paraId="0B32E05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2" w:lineRule="exact"/>
        <w:ind w:firstLine="643" w:firstLineChars="200"/>
        <w:textAlignment w:val="auto"/>
        <w:rPr>
          <w:rFonts w:hint="default" w:ascii="宋体" w:hAnsi="宋体" w:eastAsia="方正仿宋_GBK" w:cs="Times New Roman"/>
          <w:sz w:val="32"/>
          <w:szCs w:val="32"/>
          <w:highlight w:val="none"/>
          <w:lang w:val="en-US" w:eastAsia="zh-CN"/>
        </w:rPr>
      </w:pPr>
      <w:r>
        <w:rPr>
          <w:rFonts w:hint="default" w:ascii="宋体" w:hAnsi="宋体" w:eastAsia="方正仿宋_GBK" w:cs="Times New Roman"/>
          <w:b/>
          <w:bCs/>
          <w:sz w:val="32"/>
          <w:szCs w:val="32"/>
          <w:highlight w:val="none"/>
          <w:lang w:val="en-US" w:eastAsia="zh-CN"/>
        </w:rPr>
        <w:t>优化提升空间治理。</w:t>
      </w:r>
      <w:r>
        <w:rPr>
          <w:rStyle w:val="13"/>
          <w:rFonts w:hint="default" w:ascii="宋体" w:hAnsi="宋体" w:cs="Times New Roman"/>
        </w:rPr>
        <w:t>启动全区“十五五”国土空间优化提升规划研究，开展区级国土空间规划实施五年评估与动态优化，实现规划刚性管控与发展需求动态适配。协调推进太湖风景名胜区总体规划修编，加快马山、梅梁湖景区详细规划报批，开展国土空间详细规划（村庄规划）与景区详细规划融合编制研究。加力推进山水东路科创谷、荣巷蠡园片区、马圩片区等重点地区详细规划编报，全面落实科创谷启动区规划、用地保障。</w:t>
      </w:r>
      <w:r>
        <w:rPr>
          <w:rFonts w:hint="default" w:ascii="宋体" w:hAnsi="宋体" w:eastAsia="方正仿宋_GBK" w:cs="Times New Roman"/>
          <w:b/>
          <w:bCs/>
          <w:strike w:val="0"/>
          <w:dstrike w:val="0"/>
          <w:sz w:val="32"/>
          <w:szCs w:val="32"/>
          <w:highlight w:val="none"/>
          <w:lang w:val="en-US" w:eastAsia="zh-CN"/>
        </w:rPr>
        <w:t>提档升级城乡品质</w:t>
      </w:r>
      <w:r>
        <w:rPr>
          <w:rFonts w:hint="default" w:ascii="宋体" w:hAnsi="宋体" w:eastAsia="方正仿宋_GBK" w:cs="Times New Roman"/>
          <w:b/>
          <w:bCs/>
          <w:sz w:val="32"/>
          <w:szCs w:val="32"/>
          <w:highlight w:val="none"/>
          <w:lang w:val="en-US" w:eastAsia="zh-CN"/>
        </w:rPr>
        <w:t>。</w:t>
      </w:r>
      <w:r>
        <w:rPr>
          <w:rStyle w:val="13"/>
          <w:rFonts w:hint="default" w:ascii="宋体" w:hAnsi="宋体" w:cs="Times New Roman"/>
          <w:lang w:val="en-US" w:eastAsia="zh-CN"/>
        </w:rPr>
        <w:t>全力攻坚山水东路科创谷、运河湾、荣巷历史街区等重点片区地块征收，实施广电南侧地块、汇光科技园地块旧城区改建项目，启动5个、14.7万平方米老旧小区改造提升，完成更新加装电梯不少于300台。试点启动大板房治理，建立多元置换房源储备库，启动首批175套大板房改造。深入实施耕地保护“三提两严”行动，深化农村人居环境分类整治提升，确保长效管护合格率保持95%以上，加快推进6个现代“美丽农居”重点村建设，创建省级宜居宜业和美乡村2个。</w:t>
      </w:r>
      <w:r>
        <w:rPr>
          <w:rFonts w:hint="default" w:ascii="宋体" w:hAnsi="宋体" w:eastAsia="方正仿宋_GBK" w:cs="Times New Roman"/>
          <w:b/>
          <w:bCs/>
          <w:color w:val="auto"/>
          <w:sz w:val="32"/>
          <w:szCs w:val="32"/>
          <w:highlight w:val="none"/>
          <w:lang w:val="en-US" w:eastAsia="zh-CN"/>
        </w:rPr>
        <w:t>焕新赋能城市治理</w:t>
      </w:r>
      <w:r>
        <w:rPr>
          <w:rFonts w:hint="default" w:ascii="宋体" w:hAnsi="宋体" w:eastAsia="方正仿宋_GBK" w:cs="Times New Roman"/>
          <w:b/>
          <w:bCs/>
          <w:sz w:val="32"/>
          <w:szCs w:val="32"/>
          <w:highlight w:val="none"/>
          <w:lang w:val="en-US" w:eastAsia="zh-CN"/>
        </w:rPr>
        <w:t>。</w:t>
      </w:r>
      <w:r>
        <w:rPr>
          <w:rStyle w:val="13"/>
          <w:rFonts w:hint="default" w:ascii="宋体" w:hAnsi="宋体" w:cs="Times New Roman"/>
          <w:lang w:val="en-US" w:eastAsia="zh-CN"/>
        </w:rPr>
        <w:t>结合建筑住区、公园绿地、道路广场、河道水系等建设项目，以点带面提升全区在建海绵城市项目建设质量，实现70%现状建成区面积达到海绵城市建设要求。持续推进特色街巷、城市休憩角等项目建设，积极培育夜市市集和品质外摆，打造特色店招，优化公共空间功能和体验。依托智慧停车平台，持续深化停车便利化工程，新增机动车停车泊位2000个，完成停车场综合服务品质提升3个，推进道路泊位智能化改造5条。</w:t>
      </w:r>
      <w:r>
        <w:rPr>
          <w:rStyle w:val="13"/>
          <w:rFonts w:hint="eastAsia" w:ascii="宋体" w:hAnsi="宋体" w:cs="Times New Roman"/>
          <w:lang w:val="en-US" w:eastAsia="zh-CN"/>
        </w:rPr>
        <w:t>新改建</w:t>
      </w:r>
      <w:r>
        <w:rPr>
          <w:rStyle w:val="13"/>
          <w:rFonts w:hint="default" w:ascii="宋体" w:hAnsi="宋体" w:cs="Times New Roman"/>
          <w:lang w:val="en-US" w:eastAsia="zh-CN"/>
        </w:rPr>
        <w:t>“城市活力绿岛”7处</w:t>
      </w:r>
      <w:r>
        <w:rPr>
          <w:rStyle w:val="13"/>
          <w:rFonts w:hint="eastAsia" w:ascii="宋体" w:hAnsi="宋体" w:cs="Times New Roman"/>
          <w:lang w:val="en-US" w:eastAsia="zh-CN"/>
        </w:rPr>
        <w:t>、</w:t>
      </w:r>
      <w:r>
        <w:rPr>
          <w:rStyle w:val="13"/>
          <w:rFonts w:hint="default" w:ascii="宋体" w:hAnsi="宋体" w:cs="Times New Roman"/>
          <w:lang w:val="en-US" w:eastAsia="zh-CN"/>
        </w:rPr>
        <w:t>城市绿道15公里。</w:t>
      </w:r>
    </w:p>
    <w:p w14:paraId="586BA85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2" w:lineRule="exact"/>
        <w:ind w:firstLine="640" w:firstLineChars="200"/>
        <w:textAlignment w:val="auto"/>
        <w:outlineLvl w:val="1"/>
        <w:rPr>
          <w:rFonts w:hint="default" w:ascii="宋体" w:hAnsi="宋体" w:eastAsia="方正楷体_GBK" w:cs="Times New Roman"/>
          <w:sz w:val="32"/>
          <w:szCs w:val="32"/>
          <w:highlight w:val="none"/>
          <w:lang w:val="en-US" w:eastAsia="zh-CN"/>
        </w:rPr>
      </w:pPr>
      <w:r>
        <w:rPr>
          <w:rFonts w:hint="default" w:ascii="宋体" w:hAnsi="宋体" w:eastAsia="方正楷体_GBK" w:cs="Times New Roman"/>
          <w:sz w:val="32"/>
          <w:szCs w:val="32"/>
          <w:highlight w:val="none"/>
          <w:lang w:val="en-US" w:eastAsia="zh-CN"/>
        </w:rPr>
        <w:t>（六）育生态、扬优势，筑牢绿色发展底色</w:t>
      </w:r>
    </w:p>
    <w:p w14:paraId="4496DCF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2" w:lineRule="exact"/>
        <w:ind w:firstLine="643" w:firstLineChars="200"/>
        <w:textAlignment w:val="auto"/>
        <w:rPr>
          <w:rFonts w:hint="default" w:ascii="宋体" w:hAnsi="宋体" w:eastAsia="方正仿宋_GBK" w:cs="Times New Roman"/>
          <w:sz w:val="32"/>
          <w:szCs w:val="32"/>
          <w:highlight w:val="none"/>
          <w:lang w:val="en-US" w:eastAsia="zh-CN"/>
        </w:rPr>
      </w:pPr>
      <w:r>
        <w:rPr>
          <w:rFonts w:hint="default" w:ascii="宋体" w:hAnsi="宋体" w:eastAsia="方正仿宋_GBK" w:cs="Times New Roman"/>
          <w:b/>
          <w:bCs/>
          <w:sz w:val="32"/>
          <w:szCs w:val="32"/>
          <w:highlight w:val="none"/>
          <w:lang w:val="en-US" w:eastAsia="zh-CN"/>
        </w:rPr>
        <w:t>深化太湖治理工程。</w:t>
      </w:r>
      <w:r>
        <w:rPr>
          <w:rStyle w:val="13"/>
          <w:rFonts w:hint="default" w:ascii="宋体" w:hAnsi="宋体" w:cs="Times New Roman"/>
          <w:lang w:val="en-US" w:eastAsia="zh-CN"/>
        </w:rPr>
        <w:t>严肃抓好第三轮中央环保督察、第二轮省环保督察反馈问题整改，确保整改任务按期销号。深化推进直湖港、梁溪河水环境整治，构建“陆域</w:t>
      </w:r>
      <w:r>
        <w:rPr>
          <w:rStyle w:val="13"/>
          <w:rFonts w:hint="eastAsia" w:ascii="宋体" w:hAnsi="宋体" w:cs="Times New Roman"/>
          <w:lang w:val="en-US" w:eastAsia="zh-CN"/>
        </w:rPr>
        <w:t>－</w:t>
      </w:r>
      <w:r>
        <w:rPr>
          <w:rStyle w:val="13"/>
          <w:rFonts w:hint="default" w:ascii="宋体" w:hAnsi="宋体" w:cs="Times New Roman"/>
          <w:lang w:val="en-US" w:eastAsia="zh-CN"/>
        </w:rPr>
        <w:t>水域</w:t>
      </w:r>
      <w:r>
        <w:rPr>
          <w:rStyle w:val="13"/>
          <w:rFonts w:hint="eastAsia" w:ascii="宋体" w:hAnsi="宋体" w:cs="Times New Roman"/>
          <w:lang w:val="en-US" w:eastAsia="zh-CN"/>
        </w:rPr>
        <w:t>－</w:t>
      </w:r>
      <w:r>
        <w:rPr>
          <w:rStyle w:val="13"/>
          <w:rFonts w:hint="default" w:ascii="宋体" w:hAnsi="宋体" w:cs="Times New Roman"/>
          <w:lang w:val="en-US" w:eastAsia="zh-CN"/>
        </w:rPr>
        <w:t>湖体”协同治理格局。紧盯中央及省级环保资金政策导向，更好推动马迹山水系生态治理等重点项目落地落实。优化提升蓝藻打捞工作机制，试点推广围隔布局调整优化，重点加强西太湖、七里堤等水域蓝藻应急防控，更高水平实现“两保两提”</w:t>
      </w:r>
      <w:r>
        <w:rPr>
          <w:rStyle w:val="13"/>
          <w:rFonts w:hint="default" w:ascii="宋体" w:hAnsi="宋体" w:cs="Times New Roman"/>
        </w:rPr>
        <w:t>。</w:t>
      </w:r>
      <w:r>
        <w:rPr>
          <w:rFonts w:hint="default" w:ascii="宋体" w:hAnsi="宋体" w:eastAsia="方正仿宋_GBK" w:cs="Times New Roman"/>
          <w:b/>
          <w:bCs/>
          <w:sz w:val="32"/>
          <w:szCs w:val="32"/>
          <w:highlight w:val="none"/>
          <w:lang w:val="en-US" w:eastAsia="zh-CN"/>
        </w:rPr>
        <w:t>强化污染源头治理。</w:t>
      </w:r>
      <w:r>
        <w:rPr>
          <w:rStyle w:val="13"/>
          <w:rFonts w:hint="default" w:ascii="宋体" w:hAnsi="宋体" w:cs="Times New Roman"/>
          <w:lang w:val="en-US" w:eastAsia="zh-CN"/>
        </w:rPr>
        <w:t>健全“流域</w:t>
      </w:r>
      <w:r>
        <w:rPr>
          <w:rStyle w:val="13"/>
          <w:rFonts w:hint="eastAsia" w:ascii="宋体" w:hAnsi="宋体" w:cs="Times New Roman"/>
          <w:lang w:val="en-US" w:eastAsia="zh-CN"/>
        </w:rPr>
        <w:t>－</w:t>
      </w:r>
      <w:r>
        <w:rPr>
          <w:rStyle w:val="13"/>
          <w:rFonts w:hint="default" w:ascii="宋体" w:hAnsi="宋体" w:cs="Times New Roman"/>
          <w:lang w:val="en-US" w:eastAsia="zh-CN"/>
        </w:rPr>
        <w:t>支浜</w:t>
      </w:r>
      <w:r>
        <w:rPr>
          <w:rStyle w:val="13"/>
          <w:rFonts w:hint="eastAsia" w:ascii="宋体" w:hAnsi="宋体" w:cs="Times New Roman"/>
          <w:lang w:val="en-US" w:eastAsia="zh-CN"/>
        </w:rPr>
        <w:t>－</w:t>
      </w:r>
      <w:r>
        <w:rPr>
          <w:rStyle w:val="13"/>
          <w:rFonts w:hint="default" w:ascii="宋体" w:hAnsi="宋体" w:cs="Times New Roman"/>
          <w:lang w:val="en-US" w:eastAsia="zh-CN"/>
        </w:rPr>
        <w:t>排口”三级管控体系，重点攻坚直湖港沿岸管网改造，推动实施胡埭污水处理厂扩建及配套管网改造项目。坚持</w:t>
      </w:r>
      <w:r>
        <w:rPr>
          <w:rFonts w:hint="default" w:ascii="宋体" w:hAnsi="宋体" w:cs="Times New Roman" w:eastAsiaTheme="minorEastAsia"/>
          <w:sz w:val="32"/>
          <w:szCs w:val="32"/>
          <w:highlight w:val="none"/>
        </w:rPr>
        <w:t>PM</w:t>
      </w:r>
      <w:r>
        <w:rPr>
          <w:rFonts w:hint="default" w:ascii="宋体" w:hAnsi="宋体" w:cs="Times New Roman" w:eastAsiaTheme="minorEastAsia"/>
          <w:sz w:val="32"/>
          <w:szCs w:val="32"/>
          <w:highlight w:val="none"/>
          <w:vertAlign w:val="subscript"/>
        </w:rPr>
        <w:t>2</w:t>
      </w:r>
      <w:r>
        <w:rPr>
          <w:rFonts w:hint="default" w:ascii="宋体" w:hAnsi="宋体" w:eastAsia="方正仿宋_GBK" w:cs="Times New Roman"/>
          <w:sz w:val="32"/>
          <w:szCs w:val="32"/>
          <w:highlight w:val="none"/>
          <w:vertAlign w:val="subscript"/>
        </w:rPr>
        <w:t>.</w:t>
      </w:r>
      <w:r>
        <w:rPr>
          <w:rFonts w:hint="default" w:ascii="宋体" w:hAnsi="宋体" w:cs="Times New Roman" w:eastAsiaTheme="minorEastAsia"/>
          <w:sz w:val="32"/>
          <w:szCs w:val="32"/>
          <w:highlight w:val="none"/>
          <w:vertAlign w:val="subscript"/>
        </w:rPr>
        <w:t>5</w:t>
      </w:r>
      <w:r>
        <w:rPr>
          <w:rStyle w:val="13"/>
          <w:rFonts w:hint="default" w:ascii="宋体" w:hAnsi="宋体" w:cs="Times New Roman"/>
        </w:rPr>
        <w:t>与臭氧“双减双控”，健全“源头替代</w:t>
      </w:r>
      <w:r>
        <w:rPr>
          <w:rStyle w:val="13"/>
          <w:rFonts w:hint="eastAsia" w:ascii="宋体" w:hAnsi="宋体" w:cs="Times New Roman"/>
          <w:lang w:eastAsia="zh-CN"/>
        </w:rPr>
        <w:t>－</w:t>
      </w:r>
      <w:r>
        <w:rPr>
          <w:rStyle w:val="13"/>
          <w:rFonts w:hint="default" w:ascii="宋体" w:hAnsi="宋体" w:cs="Times New Roman"/>
        </w:rPr>
        <w:t>过程管控</w:t>
      </w:r>
      <w:r>
        <w:rPr>
          <w:rStyle w:val="13"/>
          <w:rFonts w:hint="eastAsia" w:ascii="宋体" w:hAnsi="宋体" w:cs="Times New Roman"/>
          <w:lang w:eastAsia="zh-CN"/>
        </w:rPr>
        <w:t>－</w:t>
      </w:r>
      <w:r>
        <w:rPr>
          <w:rStyle w:val="13"/>
          <w:rFonts w:hint="default" w:ascii="宋体" w:hAnsi="宋体" w:cs="Times New Roman"/>
        </w:rPr>
        <w:t>治理提标”全链条工作体系。深化“无废城市”建设，推动一般工业固废资源化分拣中心等重点项目建设，巩固“无废细胞”创建成效。打造市级美丽幸福河湖20条，确保10个国省考断面水质稳定达标、250条河道优Ⅲ比例稳定在90%以上。</w:t>
      </w:r>
      <w:r>
        <w:rPr>
          <w:rFonts w:hint="default" w:ascii="宋体" w:hAnsi="宋体" w:eastAsia="方正仿宋_GBK" w:cs="Times New Roman"/>
          <w:b/>
          <w:bCs/>
          <w:sz w:val="32"/>
          <w:szCs w:val="32"/>
          <w:highlight w:val="none"/>
          <w:lang w:val="en-US" w:eastAsia="zh-CN"/>
        </w:rPr>
        <w:t>加快全面绿色转型。</w:t>
      </w:r>
      <w:r>
        <w:rPr>
          <w:rStyle w:val="13"/>
          <w:rFonts w:hint="default" w:ascii="宋体" w:hAnsi="宋体" w:cs="Times New Roman"/>
          <w:lang w:val="en-US" w:eastAsia="zh-CN"/>
        </w:rPr>
        <w:t>围绕2030年碳达峰目标，以蠡园开发区建设省级“双碳”试点、无锡（国家）集成电路设计中心建设零碳园区为抓手，探索引导节能降碳、组网虚拟电厂、推广新能源交通、应用绿电绿证等多元化场景落地增效。提质一批以聚芯源创、中交智能制造等为代表的特色园区创建，鼓励园区内重点企业参与省级碳平台的产品碳足迹认证，助力出口产业链脱碳，稳步支撑能耗双控转向碳排放双控。</w:t>
      </w:r>
    </w:p>
    <w:p w14:paraId="3D0B7F4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2" w:lineRule="exact"/>
        <w:ind w:firstLine="640" w:firstLineChars="200"/>
        <w:textAlignment w:val="auto"/>
        <w:outlineLvl w:val="1"/>
        <w:rPr>
          <w:rFonts w:hint="default" w:ascii="宋体" w:hAnsi="宋体" w:eastAsia="方正楷体_GBK" w:cs="Times New Roman"/>
          <w:sz w:val="32"/>
          <w:szCs w:val="32"/>
          <w:highlight w:val="none"/>
          <w:lang w:val="en-US" w:eastAsia="zh-CN"/>
        </w:rPr>
      </w:pPr>
      <w:r>
        <w:rPr>
          <w:rFonts w:hint="default" w:ascii="宋体" w:hAnsi="宋体" w:eastAsia="方正楷体_GBK" w:cs="Times New Roman"/>
          <w:sz w:val="32"/>
          <w:szCs w:val="32"/>
          <w:highlight w:val="none"/>
          <w:lang w:val="en-US" w:eastAsia="zh-CN"/>
        </w:rPr>
        <w:t>（七）优服务</w:t>
      </w:r>
      <w:r>
        <w:rPr>
          <w:rFonts w:hint="eastAsia" w:ascii="宋体" w:hAnsi="宋体" w:eastAsia="方正楷体_GBK" w:cs="Times New Roman"/>
          <w:sz w:val="32"/>
          <w:szCs w:val="32"/>
          <w:highlight w:val="none"/>
          <w:lang w:val="en-US" w:eastAsia="zh-CN"/>
        </w:rPr>
        <w:t>、</w:t>
      </w:r>
      <w:r>
        <w:rPr>
          <w:rFonts w:hint="default" w:ascii="宋体" w:hAnsi="宋体" w:eastAsia="方正楷体_GBK" w:cs="Times New Roman"/>
          <w:sz w:val="32"/>
          <w:szCs w:val="32"/>
          <w:highlight w:val="none"/>
          <w:lang w:val="en-US" w:eastAsia="zh-CN"/>
        </w:rPr>
        <w:t>强保障，增进民生福祉水平</w:t>
      </w:r>
    </w:p>
    <w:p w14:paraId="1543339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2" w:lineRule="exact"/>
        <w:ind w:firstLine="643" w:firstLineChars="200"/>
        <w:textAlignment w:val="auto"/>
        <w:rPr>
          <w:rFonts w:hint="default" w:ascii="宋体" w:hAnsi="宋体" w:eastAsia="方正仿宋_GBK" w:cs="Times New Roman"/>
          <w:sz w:val="32"/>
          <w:szCs w:val="32"/>
          <w:highlight w:val="none"/>
          <w:lang w:val="en-US" w:eastAsia="zh-CN"/>
        </w:rPr>
      </w:pPr>
      <w:r>
        <w:rPr>
          <w:rFonts w:hint="default" w:ascii="宋体" w:hAnsi="宋体" w:eastAsia="方正仿宋_GBK" w:cs="Times New Roman"/>
          <w:b/>
          <w:bCs/>
          <w:sz w:val="32"/>
          <w:szCs w:val="32"/>
          <w:highlight w:val="none"/>
          <w:lang w:val="en-US" w:eastAsia="zh-CN"/>
        </w:rPr>
        <w:t>夯实民生保障“兜底线”</w:t>
      </w:r>
      <w:r>
        <w:rPr>
          <w:rFonts w:hint="default" w:ascii="宋体" w:hAnsi="宋体" w:eastAsia="方正仿宋_GBK" w:cs="Times New Roman"/>
          <w:b/>
          <w:bCs/>
          <w:color w:val="auto"/>
          <w:sz w:val="32"/>
          <w:szCs w:val="32"/>
          <w:highlight w:val="none"/>
          <w:lang w:val="en-US" w:eastAsia="zh-CN"/>
        </w:rPr>
        <w:t>。</w:t>
      </w:r>
      <w:r>
        <w:rPr>
          <w:rStyle w:val="13"/>
          <w:rFonts w:hint="default" w:ascii="宋体" w:hAnsi="宋体" w:cs="Times New Roman"/>
        </w:rPr>
        <w:t>强化就业优先，持续开展“百企千才高校行”“智汇滨湖”等品牌引才活动，研究出台区级就业见习留岗补贴政策，优化零工市场运营，支持创建省级以上创业孵化基地，引进大学生超1.</w:t>
      </w:r>
      <w:r>
        <w:rPr>
          <w:rStyle w:val="13"/>
          <w:rFonts w:hint="default" w:ascii="宋体" w:hAnsi="宋体" w:cs="Times New Roman"/>
          <w:lang w:val="en-US" w:eastAsia="zh-CN"/>
        </w:rPr>
        <w:t>1</w:t>
      </w:r>
      <w:r>
        <w:rPr>
          <w:rStyle w:val="13"/>
          <w:rFonts w:hint="default" w:ascii="宋体" w:hAnsi="宋体" w:cs="Times New Roman"/>
        </w:rPr>
        <w:t>万人，培育自主创业超1500人。提质惠老助餐、康复护理、居家适老化改造等养老服务供给，开展基层医疗机构医养结合试点。完善生育支持政策，大力发展普惠托育服务，积极落实育儿补贴申领工作。持续擦亮“情暖滨湖·温情救助”品牌，深入推动社会救助扩围增效，扩大精神障碍社区照护服务覆盖面，服务站点镇街设置比例超50%，确保残疾人“两项补贴”精准发放率100%。</w:t>
      </w:r>
      <w:r>
        <w:rPr>
          <w:rFonts w:hint="default" w:ascii="宋体" w:hAnsi="宋体" w:eastAsia="方正仿宋_GBK" w:cs="Times New Roman"/>
          <w:b/>
          <w:bCs/>
          <w:sz w:val="32"/>
          <w:szCs w:val="32"/>
          <w:highlight w:val="none"/>
          <w:lang w:val="en-US" w:eastAsia="zh-CN"/>
        </w:rPr>
        <w:t>拓展公共服务“幸福圈”。</w:t>
      </w:r>
      <w:r>
        <w:rPr>
          <w:rStyle w:val="13"/>
          <w:rFonts w:hint="default" w:ascii="宋体" w:hAnsi="宋体" w:cs="Times New Roman"/>
          <w:lang w:val="en-US" w:eastAsia="zh-CN"/>
        </w:rPr>
        <w:t>重点调优运河湾片区、荣巷片区学前教育布局规划，有序推进省锡中滨湖分校、南师蠡中、育红小学公益校区二期项目建设，确保秋季学期正式启用。强化基层医疗卫生机构服务内涵式发展，加快5家基层医疗卫生机构提升改造，推动城市医疗集团建设。持续推动“百千万”文化惠民工程，实施“文化润心”实事项目。积极打造百姓身边的特色体育空间，加大笼式足球、篮球等公共体育设施建设，围绕路跑、骑行、水上等特色领域，打造高质量户外运动目的地。</w:t>
      </w:r>
      <w:r>
        <w:rPr>
          <w:rFonts w:hint="default" w:ascii="宋体" w:hAnsi="宋体" w:eastAsia="方正仿宋_GBK" w:cs="Times New Roman"/>
          <w:b/>
          <w:bCs/>
          <w:sz w:val="32"/>
          <w:szCs w:val="32"/>
          <w:highlight w:val="none"/>
          <w:lang w:val="en-US" w:eastAsia="zh-CN"/>
        </w:rPr>
        <w:t>筑牢民生安全</w:t>
      </w:r>
      <w:r>
        <w:rPr>
          <w:rFonts w:hint="default" w:ascii="宋体" w:hAnsi="宋体" w:cs="Times New Roman"/>
          <w:b/>
          <w:bCs/>
          <w:sz w:val="32"/>
          <w:szCs w:val="32"/>
          <w:highlight w:val="none"/>
          <w:lang w:val="en-US" w:eastAsia="zh-CN"/>
        </w:rPr>
        <w:t>“</w:t>
      </w:r>
      <w:r>
        <w:rPr>
          <w:rFonts w:hint="default" w:ascii="宋体" w:hAnsi="宋体" w:eastAsia="方正仿宋_GBK" w:cs="Times New Roman"/>
          <w:b/>
          <w:bCs/>
          <w:sz w:val="32"/>
          <w:szCs w:val="32"/>
          <w:highlight w:val="none"/>
          <w:lang w:val="en-US" w:eastAsia="zh-CN"/>
        </w:rPr>
        <w:t>防护网</w:t>
      </w:r>
      <w:r>
        <w:rPr>
          <w:rFonts w:hint="default" w:ascii="宋体" w:hAnsi="宋体" w:cs="Times New Roman"/>
          <w:b/>
          <w:bCs/>
          <w:sz w:val="32"/>
          <w:szCs w:val="32"/>
          <w:highlight w:val="none"/>
          <w:lang w:val="en-US" w:eastAsia="zh-CN"/>
        </w:rPr>
        <w:t>”</w:t>
      </w:r>
      <w:r>
        <w:rPr>
          <w:rFonts w:hint="default" w:ascii="宋体" w:hAnsi="宋体" w:eastAsia="方正仿宋_GBK" w:cs="Times New Roman"/>
          <w:b/>
          <w:bCs/>
          <w:sz w:val="32"/>
          <w:szCs w:val="32"/>
          <w:highlight w:val="none"/>
          <w:lang w:val="en-US" w:eastAsia="zh-CN"/>
        </w:rPr>
        <w:t>。</w:t>
      </w:r>
      <w:r>
        <w:rPr>
          <w:rStyle w:val="13"/>
          <w:rFonts w:hint="default" w:ascii="宋体" w:hAnsi="宋体" w:cs="Times New Roman"/>
          <w:lang w:val="en-US" w:eastAsia="zh-CN"/>
        </w:rPr>
        <w:t>纵深推进安全生产治本攻坚三年行动，持续深化“厂中厂”、高层建筑消防等“一件事”全链条和各类专项整治，持续巩固“两张清单”“拆窗破网”、特殊老年人安全关爱行动等特色工作成效。坚决防范新增隐债风险，不折不扣完成融资平台数量压降任务，确保不发生处置风险。健全扫黑除恶常态化机制，严查严打电信网络诈骗等违法犯罪，形成露头就打高压态势。推动矛盾纠纷多元治理，加强府院联动，强化重点领域矛盾攻坚，以区综治中心异地新建为契机，强化信访与人民调解、行政调解、司法调解等非诉讼纠纷解决方式的衔接联动，深化信访问题源头治理，依法规范信访秩序。</w:t>
      </w:r>
    </w:p>
    <w:sectPr>
      <w:footerReference r:id="rId5" w:type="default"/>
      <w:pgSz w:w="11906" w:h="16838"/>
      <w:pgMar w:top="1928" w:right="1474" w:bottom="1757" w:left="1587" w:header="851" w:footer="1474" w:gutter="0"/>
      <w:pgNumType w:fmt="decimal"/>
      <w:cols w:space="0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1" w:fontKey="{D16BB1BE-AA86-40BE-B64A-DA9207140CA6}"/>
  </w:font>
  <w:font w:name="方正楷体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2" w:fontKey="{E05770ED-C43D-4D5C-A4CD-AB8B75C4503F}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3" w:fontKey="{48C1689A-2208-4B0B-A6C1-6A1968529275}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4" w:fontKey="{A6713BB1-8CB3-4659-96B3-06F2DB9A845D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F6FC109">
    <w:pPr>
      <w:pStyle w:val="5"/>
      <w:ind w:left="0" w:leftChars="0" w:firstLine="0" w:firstLineChars="0"/>
      <w:jc w:val="both"/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038CFCB">
                          <w:pPr>
                            <w:pStyle w:val="5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038CFCB">
                    <w:pPr>
                      <w:pStyle w:val="5"/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sz w:val="28"/>
                        <w:szCs w:val="28"/>
                      </w:rPr>
                      <w:t>1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2417C"/>
    <w:rsid w:val="00047E80"/>
    <w:rsid w:val="002A24ED"/>
    <w:rsid w:val="00452777"/>
    <w:rsid w:val="004C139B"/>
    <w:rsid w:val="004D63F2"/>
    <w:rsid w:val="00580E57"/>
    <w:rsid w:val="006709BE"/>
    <w:rsid w:val="006D6F9C"/>
    <w:rsid w:val="009F474F"/>
    <w:rsid w:val="00A74A3B"/>
    <w:rsid w:val="00A8512B"/>
    <w:rsid w:val="030376E3"/>
    <w:rsid w:val="038C1CEC"/>
    <w:rsid w:val="052A16F9"/>
    <w:rsid w:val="06D931A5"/>
    <w:rsid w:val="077A1F3E"/>
    <w:rsid w:val="079D021A"/>
    <w:rsid w:val="07A03E39"/>
    <w:rsid w:val="07C05BA3"/>
    <w:rsid w:val="09F77090"/>
    <w:rsid w:val="0C552275"/>
    <w:rsid w:val="0E820056"/>
    <w:rsid w:val="0EC361F1"/>
    <w:rsid w:val="11DC1B50"/>
    <w:rsid w:val="121F3E0E"/>
    <w:rsid w:val="12C81DAF"/>
    <w:rsid w:val="137B1518"/>
    <w:rsid w:val="13A92371"/>
    <w:rsid w:val="14333BA0"/>
    <w:rsid w:val="15767E12"/>
    <w:rsid w:val="16884649"/>
    <w:rsid w:val="17564E1A"/>
    <w:rsid w:val="1A3F6DFB"/>
    <w:rsid w:val="1D153C89"/>
    <w:rsid w:val="1D6923E1"/>
    <w:rsid w:val="1E0D4192"/>
    <w:rsid w:val="1EE753C6"/>
    <w:rsid w:val="1FB738D7"/>
    <w:rsid w:val="1FE02E2E"/>
    <w:rsid w:val="1FF10AFA"/>
    <w:rsid w:val="221200F3"/>
    <w:rsid w:val="232A50B4"/>
    <w:rsid w:val="247955FF"/>
    <w:rsid w:val="25E66C63"/>
    <w:rsid w:val="26FF6F87"/>
    <w:rsid w:val="293F60F2"/>
    <w:rsid w:val="297C7C3F"/>
    <w:rsid w:val="2B287A55"/>
    <w:rsid w:val="2C5B55EB"/>
    <w:rsid w:val="2E5947EE"/>
    <w:rsid w:val="2F4A3E20"/>
    <w:rsid w:val="2F7360A2"/>
    <w:rsid w:val="319B63A7"/>
    <w:rsid w:val="346E1088"/>
    <w:rsid w:val="349E076A"/>
    <w:rsid w:val="34BB5E33"/>
    <w:rsid w:val="35337105"/>
    <w:rsid w:val="35B24088"/>
    <w:rsid w:val="36317AE8"/>
    <w:rsid w:val="390A4BB7"/>
    <w:rsid w:val="39C82DD9"/>
    <w:rsid w:val="3ABC4F58"/>
    <w:rsid w:val="3AF37A62"/>
    <w:rsid w:val="3B0F29F7"/>
    <w:rsid w:val="3B4E3123"/>
    <w:rsid w:val="3C383C10"/>
    <w:rsid w:val="3C426301"/>
    <w:rsid w:val="3D363C36"/>
    <w:rsid w:val="3D515446"/>
    <w:rsid w:val="3FAD112E"/>
    <w:rsid w:val="467D172B"/>
    <w:rsid w:val="4812704D"/>
    <w:rsid w:val="4B144DF3"/>
    <w:rsid w:val="4BE6690B"/>
    <w:rsid w:val="4D3812C5"/>
    <w:rsid w:val="4E474776"/>
    <w:rsid w:val="4E573A0C"/>
    <w:rsid w:val="5003209D"/>
    <w:rsid w:val="55144BE8"/>
    <w:rsid w:val="55651104"/>
    <w:rsid w:val="5697124A"/>
    <w:rsid w:val="5A0F1650"/>
    <w:rsid w:val="5BD844BF"/>
    <w:rsid w:val="5CE31905"/>
    <w:rsid w:val="5D976793"/>
    <w:rsid w:val="5DB656EB"/>
    <w:rsid w:val="5DC0337C"/>
    <w:rsid w:val="5E563CE0"/>
    <w:rsid w:val="60DD2BF7"/>
    <w:rsid w:val="62832BCA"/>
    <w:rsid w:val="62CE11A9"/>
    <w:rsid w:val="641113AC"/>
    <w:rsid w:val="65A03F69"/>
    <w:rsid w:val="69343AAD"/>
    <w:rsid w:val="69D72936"/>
    <w:rsid w:val="6A0F6ED6"/>
    <w:rsid w:val="6A1461A7"/>
    <w:rsid w:val="6A6B1D0C"/>
    <w:rsid w:val="6B2C440F"/>
    <w:rsid w:val="6B934E0A"/>
    <w:rsid w:val="6E77011C"/>
    <w:rsid w:val="6FF173C5"/>
    <w:rsid w:val="6FF419C3"/>
    <w:rsid w:val="70685CD1"/>
    <w:rsid w:val="724C1028"/>
    <w:rsid w:val="7295450A"/>
    <w:rsid w:val="72A54EF5"/>
    <w:rsid w:val="72E3289C"/>
    <w:rsid w:val="734112A3"/>
    <w:rsid w:val="74373814"/>
    <w:rsid w:val="75304351"/>
    <w:rsid w:val="75E90F30"/>
    <w:rsid w:val="76AD5B98"/>
    <w:rsid w:val="7B2F5245"/>
    <w:rsid w:val="7BCD2F2C"/>
    <w:rsid w:val="7C297C17"/>
    <w:rsid w:val="7DA93EBE"/>
    <w:rsid w:val="7EBE70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eepNext w:val="0"/>
      <w:keepLines w:val="0"/>
      <w:pageBreakBefore w:val="0"/>
      <w:widowControl w:val="0"/>
      <w:kinsoku/>
      <w:wordWrap/>
      <w:overflowPunct/>
      <w:topLinePunct w:val="0"/>
      <w:autoSpaceDE/>
      <w:autoSpaceDN/>
      <w:bidi w:val="0"/>
      <w:adjustRightInd/>
      <w:snapToGrid/>
      <w:spacing w:line="592" w:lineRule="exact"/>
      <w:ind w:firstLine="640" w:firstLineChars="200"/>
      <w:jc w:val="both"/>
      <w:textAlignment w:val="auto"/>
    </w:pPr>
    <w:rPr>
      <w:rFonts w:ascii="宋体" w:hAnsi="宋体" w:eastAsia="方正仿宋_GBK" w:cs="宋体"/>
      <w:kern w:val="2"/>
      <w:sz w:val="32"/>
      <w:szCs w:val="32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spacing w:line="592" w:lineRule="exact"/>
      <w:ind w:firstLine="640" w:firstLineChars="200"/>
      <w:outlineLvl w:val="1"/>
    </w:pPr>
    <w:rPr>
      <w:rFonts w:eastAsia="方正楷体_GBK"/>
      <w:szCs w:val="22"/>
    </w:rPr>
  </w:style>
  <w:style w:type="paragraph" w:styleId="3">
    <w:name w:val="heading 3"/>
    <w:basedOn w:val="1"/>
    <w:next w:val="1"/>
    <w:unhideWhenUsed/>
    <w:qFormat/>
    <w:uiPriority w:val="0"/>
    <w:pPr>
      <w:outlineLvl w:val="2"/>
    </w:pPr>
    <w:rPr>
      <w:rFonts w:ascii="宋体" w:hAnsi="宋体"/>
      <w:b/>
      <w:bCs/>
      <w:highlight w:val="none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 Indent"/>
    <w:basedOn w:val="1"/>
    <w:link w:val="12"/>
    <w:qFormat/>
    <w:uiPriority w:val="0"/>
    <w:pPr>
      <w:spacing w:after="120"/>
      <w:ind w:left="420" w:leftChars="200"/>
    </w:p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link w:val="1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Body Text First Indent 2"/>
    <w:basedOn w:val="4"/>
    <w:link w:val="13"/>
    <w:qFormat/>
    <w:uiPriority w:val="0"/>
    <w:pPr>
      <w:ind w:firstLine="420" w:firstLineChars="200"/>
    </w:pPr>
  </w:style>
  <w:style w:type="character" w:styleId="10">
    <w:name w:val="page number"/>
    <w:basedOn w:val="9"/>
    <w:qFormat/>
    <w:uiPriority w:val="0"/>
  </w:style>
  <w:style w:type="character" w:customStyle="1" w:styleId="11">
    <w:name w:val="页眉 Char"/>
    <w:basedOn w:val="9"/>
    <w:link w:val="6"/>
    <w:qFormat/>
    <w:uiPriority w:val="0"/>
    <w:rPr>
      <w:rFonts w:ascii="Calibri" w:hAnsi="Calibri" w:eastAsia="宋体" w:cs="Times New Roman"/>
      <w:kern w:val="2"/>
      <w:sz w:val="18"/>
      <w:szCs w:val="18"/>
    </w:rPr>
  </w:style>
  <w:style w:type="character" w:customStyle="1" w:styleId="12">
    <w:name w:val="正文文本缩进 Char"/>
    <w:link w:val="4"/>
    <w:qFormat/>
    <w:uiPriority w:val="0"/>
  </w:style>
  <w:style w:type="character" w:customStyle="1" w:styleId="13">
    <w:name w:val="正文首行缩进 2 Char"/>
    <w:link w:val="7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2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255ddd11-ab37-4182-b763-27dbf0da1947</errorID>
      <errorWord>综观</errorWord>
      <group>L1_Word</group>
      <groupName>字词问题</groupName>
      <ability>L2_Typo</ability>
      <abilityName>字词错误</abilityName>
      <candidateList>
        <item>纵观</item>
      </candidateList>
      <explain>〈动〉放眼观察（形势等）：～古今｜～全局｜～时势。</explain>
      <paraID>4B3CB404</paraID>
      <start>0</start>
      <end>2</end>
      <status>unmodified</status>
      <modifiedWord/>
      <trackRevisions>false</trackRevisions>
    </reviewItem>
    <reviewItem>
      <errorID>b145a0b4-e92f-4370-bbe0-b374ce119188</errorID>
      <errorWord>。</errorWord>
      <group>L1_Grammar</group>
      <groupName>语法问题</groupName>
      <ability>L2_Order</ability>
      <abilityName>语序不当</abilityName>
      <candidateList>
        <item>的基础。</item>
      </candidateList>
      <explain>句子可能没有遵循时空、逻辑顺序，或者介词、关联词等位置不当。</explain>
      <paraID>313EE11E</paraID>
      <start>9</start>
      <end>10</end>
      <status>unmodified</status>
      <modifiedWord/>
      <trackRevisions>false</trackRevisions>
    </reviewItem>
    <reviewItem>
      <errorID>267570e0-e522-431d-8732-0126b3052ed5</errorID>
      <errorWord>，</errorWord>
      <group>L1_Word</group>
      <groupName>字词问题</groupName>
      <ability>L2_Typo</ability>
      <abilityName>字词错误</abilityName>
      <candidateList>
        <item>，我</item>
      </candidateList>
      <explain/>
      <paraID>313EE11E</paraID>
      <start>22</start>
      <end>23</end>
      <status>unmodified</status>
      <modifiedWord/>
      <trackRevisions>false</trackRevisions>
    </reviewItem>
    <reviewItem>
      <errorID>9340d7b9-152e-4f80-a7ce-8fb837ab641c</errorID>
      <errorWord>亿</errorWord>
      <group>L1_Word</group>
      <groupName>字词问题</groupName>
      <ability>L2_Typo</ability>
      <abilityName>字词错误</abilityName>
      <candidateList>
        <item>亿元</item>
      </candidateList>
      <explain/>
      <paraID>313EE11E</paraID>
      <start>111</start>
      <end>112</end>
      <status>unmodified</status>
      <modifiedWord/>
      <trackRevisions>false</trackRevisions>
    </reviewItem>
    <reviewItem>
      <errorID>6ee85a27-f01d-4926-b3da-87b55d6cac80</errorID>
      <errorWord>预计达</errorWord>
      <group>L1_Word</group>
      <groupName>字词问题</groupName>
      <ability>L2_Typo</ability>
      <abilityName>字词错误</abilityName>
      <candidateList>
        <item>预计</item>
      </candidateList>
      <explain/>
      <paraID>3FC7E3D7</paraID>
      <start>272</start>
      <end>275</end>
      <status>unmodified</status>
      <modifiedWord/>
      <trackRevisions>false</trackRevisions>
    </reviewItem>
    <reviewItem>
      <errorID>4970f813-8ae5-4783-a5a5-a194685aac78</errorID>
      <errorWord>地区创建</errorWord>
      <group>L1_Grammar</group>
      <groupName>语法问题</groupName>
      <ability>L2_Order</ability>
      <abilityName>语序不当</abilityName>
      <candidateList>
        <item>创建地区</item>
      </candidateList>
      <explain>句子可能没有遵循时空、逻辑顺序，或者介词、关联词等位置不当。</explain>
      <paraID>378BB818</paraID>
      <start>177</start>
      <end>181</end>
      <status>unmodified</status>
      <modifiedWord/>
      <trackRevisions>false</trackRevisions>
    </reviewItem>
    <reviewItem>
      <errorID>1f3abf21-4138-46dd-bd55-23a9de918b30</errorID>
      <errorWord>1．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5F452FF7</paraID>
      <start>0</start>
      <end>2</end>
      <status>modified</status>
      <modifiedWord>1.</modifiedWord>
      <trackRevisions>false</trackRevisions>
    </reviewItem>
    <reviewItem>
      <errorID>e9104e60-6aec-429a-a364-63b08d6c4eb2</errorID>
      <errorWord>2．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6ECDD7FA</paraID>
      <start>0</start>
      <end>2</end>
      <status>modified</status>
      <modifiedWord>2.</modifiedWord>
      <trackRevisions>false</trackRevisions>
    </reviewItem>
    <reviewItem>
      <errorID>5afa9858-e285-49ff-a699-1d43b2689adb</errorID>
      <errorWord>3．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6B36331</paraID>
      <start>0</start>
      <end>2</end>
      <status>modified</status>
      <modifiedWord>3.</modifiedWord>
      <trackRevisions>false</trackRevisions>
    </reviewItem>
    <reviewItem>
      <errorID>c4c2389f-1fd0-4183-8036-706cb8223031</errorID>
      <errorWord>4．</errorWord>
      <group>L1_Format</group>
      <groupName>格式问题</groupName>
      <ability>L2_Ordinal</ability>
      <abilityName>序号格式</abilityName>
      <candidateList>
        <item>4.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14115E92</paraID>
      <start>0</start>
      <end>2</end>
      <status>modified</status>
      <modifiedWord>4.</modifiedWord>
      <trackRevisions>false</trackRevisions>
    </reviewItem>
    <reviewItem>
      <errorID>1461287a-aede-4f1b-a37f-522fff198eea</errorID>
      <errorWord>5．</errorWord>
      <group>L1_Format</group>
      <groupName>格式问题</groupName>
      <ability>L2_Ordinal</ability>
      <abilityName>序号格式</abilityName>
      <candidateList>
        <item>5.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49FE366D</paraID>
      <start>0</start>
      <end>2</end>
      <status>modified</status>
      <modifiedWord>5.</modifiedWord>
      <trackRevisions>false</trackRevisions>
    </reviewItem>
    <reviewItem>
      <errorID>6fd94b5f-387d-4b22-9f34-723b19210500</errorID>
      <errorWord>6．</errorWord>
      <group>L1_Format</group>
      <groupName>格式问题</groupName>
      <ability>L2_Ordinal</ability>
      <abilityName>序号格式</abilityName>
      <candidateList>
        <item>6.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30E1FE9D</paraID>
      <start>0</start>
      <end>2</end>
      <status>modified</status>
      <modifiedWord>6.</modifiedWord>
      <trackRevisions>false</trackRevisions>
    </reviewItem>
    <reviewItem>
      <errorID>b1087834-74d9-43d3-ab29-9dcdc9d9e238</errorID>
      <errorWord>7．</errorWord>
      <group>L1_Format</group>
      <groupName>格式问题</groupName>
      <ability>L2_Ordinal</ability>
      <abilityName>序号格式</abilityName>
      <candidateList>
        <item>7.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599470FD</paraID>
      <start>0</start>
      <end>2</end>
      <status>modified</status>
      <modifiedWord>7.</modifiedWord>
      <trackRevisions>false</trackRevisions>
    </reviewItem>
    <reviewItem>
      <errorID>1719f153-89a4-4a94-ba09-92b830312099</errorID>
      <errorWord>8．</errorWord>
      <group>L1_Format</group>
      <groupName>格式问题</groupName>
      <ability>L2_Ordinal</ability>
      <abilityName>序号格式</abilityName>
      <candidateList>
        <item>8.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3CC35502</paraID>
      <start>0</start>
      <end>2</end>
      <status>modified</status>
      <modifiedWord>8.</modifiedWord>
      <trackRevisions>false</trackRevisions>
    </reviewItem>
    <reviewItem>
      <errorID>724ebc67-c8a9-4fd6-bfc0-9ff0ad1cbda7</errorID>
      <errorWord>9．</errorWord>
      <group>L1_Format</group>
      <groupName>格式问题</groupName>
      <ability>L2_Ordinal</ability>
      <abilityName>序号格式</abilityName>
      <candidateList>
        <item>9.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6DF1DD44</paraID>
      <start>0</start>
      <end>2</end>
      <status>modified</status>
      <modifiedWord>9.</modifiedWord>
      <trackRevisions>false</trackRevisions>
    </reviewItem>
    <reviewItem>
      <errorID>29099cee-8ae2-4b5c-bea6-fbddc354ee3f</errorID>
      <errorWord>10．</errorWord>
      <group>L1_Format</group>
      <groupName>格式问题</groupName>
      <ability>L2_Ordinal</ability>
      <abilityName>序号格式</abilityName>
      <candidateList>
        <item>10.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4B00DE15</paraID>
      <start>0</start>
      <end>3</end>
      <status>modified</status>
      <modifiedWord>10.</modifiedWord>
      <trackRevisions>false</trackRevisions>
    </reviewItem>
    <reviewItem>
      <errorID>47f0e277-3c48-4e97-b5c1-2fbf664ce854</errorID>
      <errorWord>。</errorWord>
      <group>L1_Grammar</group>
      <groupName>语法问题</groupName>
      <ability>L2_Order</ability>
      <abilityName>语序不当</abilityName>
      <candidateList>
        <item>基础。</item>
      </candidateList>
      <explain>句子可能没有遵循时空、逻辑顺序，或者介词、关联词等位置不当。</explain>
      <paraID>433A52E2</paraID>
      <start>226</start>
      <end>227</end>
      <status>unmodified</status>
      <modifiedWord/>
      <trackRevisions>false</trackRevisions>
    </reviewItem>
    <reviewItem>
      <errorID>0c3bb300-a32d-4e00-a677-18d8b13b0d7f</errorID>
      <errorWord>士</errorWord>
      <group>L1_Word</group>
      <groupName>字词问题</groupName>
      <ability>L2_Typo</ability>
      <abilityName>字词错误</abilityName>
      <candidateList>
        <item>世</item>
      </candidateList>
      <explain/>
      <paraID>433A52E2</paraID>
      <start>536</start>
      <end>537</end>
      <status>unmodified</status>
      <modifiedWord/>
      <trackRevisions>false</trackRevisions>
    </reviewItem>
    <reviewItem>
      <errorID>69b41c5e-d064-4451-8d7d-3ef4b75ad704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7CBA98FA</paraID>
      <start>582</start>
      <end>583</end>
      <status>modified</status>
      <modifiedWord>－</modifiedWord>
      <trackRevisions>false</trackRevisions>
    </reviewItem>
    <reviewItem>
      <errorID>78fb680c-b6dd-4fc5-a2e0-e0f5260597bf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7CBA98FA</paraID>
      <start>587</start>
      <end>588</end>
      <status>modified</status>
      <modifiedWord>－</modifiedWord>
      <trackRevisions>false</trackRevisions>
    </reviewItem>
    <reviewItem>
      <errorID>667c9072-d4ae-4f19-aefc-a0517d6c4b95</errorID>
      <errorWord>健适</errorWord>
      <group>L1_Knowledge</group>
      <groupName>知识性问题</groupName>
      <ability>L2_Term</ability>
      <abilityName>专业术语</abilityName>
      <candidateList>
        <item>体能</item>
      </candidateList>
      <explain>医学名词[健适]为不规范表述或旧称，其规范书面表述为[体能]。</explain>
      <paraID>1A0F8C15</paraID>
      <start>227</start>
      <end>229</end>
      <status>unmodified</status>
      <modifiedWord/>
      <trackRevisions>false</trackRevisions>
    </reviewItem>
    <reviewItem>
      <errorID>ceedc48e-d393-4361-aac9-cf79f990750d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1A0F8C15</paraID>
      <start>744</start>
      <end>745</end>
      <status>modified</status>
      <modifiedWord>－</modifiedWord>
      <trackRevisions>false</trackRevisions>
    </reviewItem>
    <reviewItem>
      <errorID>17383dae-af3d-433c-8d89-149d6b467f65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4496DCF0</paraID>
      <start>71</start>
      <end>72</end>
      <status>modified</status>
      <modifiedWord>－</modifiedWord>
      <trackRevisions>false</trackRevisions>
    </reviewItem>
    <reviewItem>
      <errorID>7c7256be-dc07-4457-aad9-6606c9a451e0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4496DCF0</paraID>
      <start>74</start>
      <end>75</end>
      <status>modified</status>
      <modifiedWord>－</modifiedWord>
      <trackRevisions>false</trackRevisions>
    </reviewItem>
    <reviewItem>
      <errorID>a7656075-54e5-4ce0-a275-8c7d2b1b5ada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4496DCF0</paraID>
      <start>198</start>
      <end>199</end>
      <status>modified</status>
      <modifiedWord>－</modifiedWord>
      <trackRevisions>false</trackRevisions>
    </reviewItem>
    <reviewItem>
      <errorID>5709def5-dde2-4f30-af83-1531c2952a06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4496DCF0</paraID>
      <start>201</start>
      <end>202</end>
      <status>modified</status>
      <modifiedWord>－</modifiedWord>
      <trackRevisions>false</trackRevisions>
    </reviewItem>
    <reviewItem>
      <errorID>efe0f49e-8d27-4b63-9da1-49b60ba1d8fd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4496DCF0</paraID>
      <start>273</start>
      <end>274</end>
      <status>modified</status>
      <modifiedWord>－</modifiedWord>
      <trackRevisions>false</trackRevisions>
    </reviewItem>
    <reviewItem>
      <errorID>15fc305b-3078-43c1-9025-7d41c622bfec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4496DCF0</paraID>
      <start>278</start>
      <end>279</end>
      <status>modified</status>
      <modifiedWord>－</modifiedWord>
      <trackRevisions>false</trackRevisions>
    </reviewItem>
    <reviewItem>
      <errorID>af76ac4c-f61a-43b0-88e7-20a4f304b3bc</errorID>
      <errorWord>2030年碳达峰</errorWord>
      <group>L1_Word</group>
      <groupName>字词问题</groupName>
      <ability>L2_Typo</ability>
      <abilityName>字词错误</abilityName>
      <candidateList>
        <item>2030年前碳达峰</item>
      </candidateList>
      <explain/>
      <paraID>4496DCF0</paraID>
      <start>400</start>
      <end>408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a9674d9-ae25-4dfd-8f8a-06bde98e92a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15</Pages>
  <Words>7800</Words>
  <Characters>8066</Characters>
  <Lines>1</Lines>
  <Paragraphs>1</Paragraphs>
  <TotalTime>124</TotalTime>
  <ScaleCrop>false</ScaleCrop>
  <LinksUpToDate>false</LinksUpToDate>
  <CharactersWithSpaces>8066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2025-10-30T07:07:00Z</dcterms:created>
  <dc:creator>可有可吴先生</dc:creator>
  <cp:lastModifiedBy>WPS_1756195012</cp:lastModifiedBy>
  <cp:lastPrinted>2026-01-06T08:34:00Z</cp:lastPrinted>
  <dcterms:modified xsi:type="dcterms:W3CDTF">2026-02-27T03:04:51Z</dcterms:modified>
  <cp:revision>20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D88B4835288C43339AF3062FE32CA50D_13</vt:lpwstr>
  </property>
  <property fmtid="{D5CDD505-2E9C-101B-9397-08002B2CF9AE}" pid="4" name="KSOTemplateDocerSaveRecord">
    <vt:lpwstr>eyJoZGlkIjoiOGNjNjg4MGExNzc1ZDY0ODlmZWM3M2ViYWEwMDVmMTQiLCJ1c2VySWQiOiIxNzMzMTE1NTIzIn0=</vt:lpwstr>
  </property>
</Properties>
</file>