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39AA3">
      <w:pPr>
        <w:keepNext w:val="0"/>
        <w:keepLines w:val="0"/>
        <w:pageBreakBefore w:val="0"/>
        <w:widowControl/>
        <w:kinsoku/>
        <w:wordWrap/>
        <w:overflowPunct/>
        <w:topLinePunct w:val="0"/>
        <w:autoSpaceDE w:val="0"/>
        <w:autoSpaceDN w:val="0"/>
        <w:bidi w:val="0"/>
        <w:adjustRightInd w:val="0"/>
        <w:snapToGrid w:val="0"/>
        <w:spacing w:before="115" w:line="592" w:lineRule="exact"/>
        <w:textAlignment w:val="baseline"/>
        <w:rPr>
          <w:rFonts w:ascii="Times New Roman" w:hAnsi="Times New Roman" w:eastAsia="Times New Roman" w:cs="Times New Roman"/>
          <w:sz w:val="31"/>
          <w:szCs w:val="31"/>
        </w:rPr>
      </w:pPr>
      <w:r>
        <w:rPr>
          <w:rFonts w:ascii="方正黑体_GBK" w:hAnsi="方正黑体_GBK" w:eastAsia="方正黑体_GBK" w:cs="方正黑体_GBK"/>
          <w:spacing w:val="-5"/>
          <w:sz w:val="31"/>
          <w:szCs w:val="31"/>
        </w:rPr>
        <w:t>附件</w:t>
      </w:r>
      <w:r>
        <w:rPr>
          <w:rFonts w:ascii="Times New Roman" w:hAnsi="Times New Roman" w:eastAsia="Times New Roman" w:cs="Times New Roman"/>
          <w:spacing w:val="-5"/>
          <w:sz w:val="31"/>
          <w:szCs w:val="31"/>
        </w:rPr>
        <w:t>1</w:t>
      </w:r>
    </w:p>
    <w:p w14:paraId="51A865EB">
      <w:pPr>
        <w:keepNext w:val="0"/>
        <w:keepLines w:val="0"/>
        <w:pageBreakBefore w:val="0"/>
        <w:widowControl/>
        <w:kinsoku/>
        <w:wordWrap/>
        <w:overflowPunct/>
        <w:topLinePunct w:val="0"/>
        <w:autoSpaceDE w:val="0"/>
        <w:autoSpaceDN w:val="0"/>
        <w:bidi w:val="0"/>
        <w:adjustRightInd w:val="0"/>
        <w:snapToGrid w:val="0"/>
        <w:spacing w:before="1" w:line="592" w:lineRule="exact"/>
        <w:jc w:val="center"/>
        <w:textAlignment w:val="baseline"/>
        <w:rPr>
          <w:rFonts w:ascii="方正小标宋_GBK" w:hAnsi="方正小标宋_GBK" w:eastAsia="方正小标宋_GBK" w:cs="方正小标宋_GBK"/>
          <w:spacing w:val="7"/>
          <w:sz w:val="36"/>
          <w:szCs w:val="36"/>
        </w:rPr>
      </w:pPr>
      <w:r>
        <w:rPr>
          <w:rFonts w:ascii="Times New Roman" w:hAnsi="Times New Roman" w:eastAsia="Times New Roman" w:cs="Times New Roman"/>
          <w:spacing w:val="7"/>
          <w:sz w:val="36"/>
          <w:szCs w:val="36"/>
        </w:rPr>
        <w:t>2025</w:t>
      </w:r>
      <w:r>
        <w:rPr>
          <w:rFonts w:ascii="方正小标宋_GBK" w:hAnsi="方正小标宋_GBK" w:eastAsia="方正小标宋_GBK" w:cs="方正小标宋_GBK"/>
          <w:spacing w:val="7"/>
          <w:sz w:val="36"/>
          <w:szCs w:val="36"/>
        </w:rPr>
        <w:t>年省级现代农业发展补助专项</w:t>
      </w:r>
    </w:p>
    <w:p w14:paraId="0202CA65">
      <w:pPr>
        <w:keepNext w:val="0"/>
        <w:keepLines w:val="0"/>
        <w:pageBreakBefore w:val="0"/>
        <w:widowControl/>
        <w:kinsoku/>
        <w:wordWrap/>
        <w:overflowPunct/>
        <w:topLinePunct w:val="0"/>
        <w:autoSpaceDE w:val="0"/>
        <w:autoSpaceDN w:val="0"/>
        <w:bidi w:val="0"/>
        <w:adjustRightInd w:val="0"/>
        <w:snapToGrid w:val="0"/>
        <w:spacing w:before="1" w:line="592" w:lineRule="exact"/>
        <w:jc w:val="center"/>
        <w:textAlignment w:val="baseline"/>
        <w:rPr>
          <w:rFonts w:ascii="方正小标宋_GBK" w:hAnsi="方正小标宋_GBK" w:eastAsia="方正小标宋_GBK" w:cs="方正小标宋_GBK"/>
          <w:sz w:val="36"/>
          <w:szCs w:val="36"/>
        </w:rPr>
      </w:pPr>
      <w:r>
        <w:rPr>
          <w:rFonts w:ascii="方正小标宋_GBK" w:hAnsi="方正小标宋_GBK" w:eastAsia="方正小标宋_GBK" w:cs="方正小标宋_GBK"/>
          <w:spacing w:val="7"/>
          <w:sz w:val="36"/>
          <w:szCs w:val="36"/>
        </w:rPr>
        <w:t>实施意见</w:t>
      </w:r>
    </w:p>
    <w:p w14:paraId="7D45CC3F">
      <w:pPr>
        <w:keepNext w:val="0"/>
        <w:keepLines w:val="0"/>
        <w:pageBreakBefore w:val="0"/>
        <w:widowControl/>
        <w:kinsoku/>
        <w:wordWrap/>
        <w:overflowPunct/>
        <w:topLinePunct w:val="0"/>
        <w:autoSpaceDE w:val="0"/>
        <w:autoSpaceDN w:val="0"/>
        <w:bidi w:val="0"/>
        <w:adjustRightInd w:val="0"/>
        <w:snapToGrid w:val="0"/>
        <w:spacing w:line="592" w:lineRule="exact"/>
        <w:textAlignment w:val="baseline"/>
        <w:rPr>
          <w:rFonts w:ascii="Arial"/>
          <w:sz w:val="21"/>
        </w:rPr>
      </w:pPr>
    </w:p>
    <w:p w14:paraId="7C668BB9">
      <w:pPr>
        <w:keepNext w:val="0"/>
        <w:keepLines w:val="0"/>
        <w:pageBreakBefore w:val="0"/>
        <w:widowControl/>
        <w:numPr>
          <w:ilvl w:val="0"/>
          <w:numId w:val="0"/>
        </w:numPr>
        <w:kinsoku/>
        <w:wordWrap/>
        <w:overflowPunct/>
        <w:topLinePunct w:val="0"/>
        <w:autoSpaceDE w:val="0"/>
        <w:autoSpaceDN w:val="0"/>
        <w:bidi w:val="0"/>
        <w:adjustRightInd w:val="0"/>
        <w:snapToGrid w:val="0"/>
        <w:spacing w:line="592" w:lineRule="exact"/>
        <w:ind w:left="0" w:leftChars="0" w:right="0" w:firstLine="640" w:firstLineChars="200"/>
        <w:textAlignment w:val="baseline"/>
        <w:outlineLvl w:val="1"/>
        <w:rPr>
          <w:rFonts w:hint="eastAsia" w:ascii="方正仿宋_GBK" w:hAnsi="方正仿宋_GBK" w:eastAsia="方正仿宋_GBK" w:cs="方正仿宋_GBK"/>
          <w:sz w:val="32"/>
          <w:szCs w:val="32"/>
        </w:rPr>
      </w:pPr>
      <w:r>
        <w:rPr>
          <w:rFonts w:hint="eastAsia" w:ascii="方正黑体_GBK" w:hAnsi="方正黑体_GBK" w:eastAsia="方正黑体_GBK" w:cs="方正黑体_GBK"/>
          <w:snapToGrid w:val="0"/>
          <w:color w:val="000000"/>
          <w:kern w:val="0"/>
          <w:sz w:val="32"/>
          <w:szCs w:val="32"/>
          <w:lang w:val="en-US" w:eastAsia="en-US" w:bidi="ar-SA"/>
        </w:rPr>
        <w:t>一、</w:t>
      </w:r>
      <w:r>
        <w:rPr>
          <w:rFonts w:ascii="方正黑体_GBK" w:hAnsi="方正黑体_GBK" w:eastAsia="方正黑体_GBK" w:cs="方正黑体_GBK"/>
          <w:spacing w:val="5"/>
          <w:sz w:val="32"/>
          <w:szCs w:val="32"/>
        </w:rPr>
        <w:t>支持粮食和重要农产品稳产保供</w:t>
      </w:r>
    </w:p>
    <w:p w14:paraId="573B5EBB">
      <w:pPr>
        <w:keepNext w:val="0"/>
        <w:keepLines w:val="0"/>
        <w:pageBreakBefore w:val="0"/>
        <w:widowControl/>
        <w:numPr>
          <w:ilvl w:val="0"/>
          <w:numId w:val="0"/>
        </w:numPr>
        <w:kinsoku/>
        <w:wordWrap/>
        <w:overflowPunct/>
        <w:topLinePunct w:val="0"/>
        <w:autoSpaceDE w:val="0"/>
        <w:autoSpaceDN w:val="0"/>
        <w:bidi w:val="0"/>
        <w:adjustRightInd w:val="0"/>
        <w:snapToGrid w:val="0"/>
        <w:spacing w:line="592" w:lineRule="exact"/>
        <w:ind w:left="0" w:right="0" w:firstLine="672" w:firstLineChars="200"/>
        <w:textAlignment w:val="baseline"/>
        <w:outlineLvl w:val="1"/>
        <w:rPr>
          <w:rFonts w:hint="eastAsia" w:ascii="方正仿宋_GBK" w:hAnsi="方正仿宋_GBK" w:eastAsia="方正仿宋_GBK" w:cs="方正仿宋_GBK"/>
          <w:spacing w:val="5"/>
          <w:sz w:val="32"/>
          <w:szCs w:val="32"/>
        </w:rPr>
      </w:pPr>
      <w:r>
        <w:rPr>
          <w:rFonts w:hint="eastAsia" w:ascii="方正仿宋_GBK" w:hAnsi="方正仿宋_GBK" w:eastAsia="方正仿宋_GBK" w:cs="方正仿宋_GBK"/>
          <w:snapToGrid w:val="0"/>
          <w:color w:val="000000"/>
          <w:spacing w:val="8"/>
          <w:kern w:val="0"/>
          <w:sz w:val="32"/>
          <w:szCs w:val="32"/>
          <w:lang w:val="en-US" w:eastAsia="en-US" w:bidi="ar-SA"/>
        </w:rPr>
        <w:t>（一）</w:t>
      </w:r>
      <w:r>
        <w:rPr>
          <w:rFonts w:ascii="方正楷体_GBK" w:hAnsi="方正楷体_GBK" w:eastAsia="方正楷体_GBK" w:cs="方正楷体_GBK"/>
          <w:spacing w:val="8"/>
          <w:sz w:val="32"/>
          <w:szCs w:val="32"/>
        </w:rPr>
        <w:t>支持粮油大面积单产提升。</w:t>
      </w:r>
      <w:r>
        <w:rPr>
          <w:rFonts w:hint="eastAsia" w:ascii="方正仿宋_GBK" w:hAnsi="方正仿宋_GBK" w:eastAsia="方正仿宋_GBK" w:cs="方正仿宋_GBK"/>
          <w:spacing w:val="8"/>
          <w:sz w:val="32"/>
          <w:szCs w:val="32"/>
        </w:rPr>
        <w:t>支持各地组织各</w:t>
      </w:r>
      <w:r>
        <w:rPr>
          <w:rFonts w:hint="eastAsia" w:ascii="方正仿宋_GBK" w:hAnsi="方正仿宋_GBK" w:eastAsia="方正仿宋_GBK" w:cs="方正仿宋_GBK"/>
          <w:spacing w:val="7"/>
          <w:sz w:val="32"/>
          <w:szCs w:val="32"/>
        </w:rPr>
        <w:t>类生产</w:t>
      </w:r>
      <w:r>
        <w:rPr>
          <w:rFonts w:hint="eastAsia" w:ascii="方正仿宋_GBK" w:hAnsi="方正仿宋_GBK" w:eastAsia="方正仿宋_GBK" w:cs="方正仿宋_GBK"/>
          <w:spacing w:val="10"/>
          <w:sz w:val="32"/>
          <w:szCs w:val="32"/>
        </w:rPr>
        <w:t>主体、专业化服务组织等参与建设具有一定规模的粮油高产优</w:t>
      </w:r>
      <w:r>
        <w:rPr>
          <w:rFonts w:hint="eastAsia" w:ascii="方正仿宋_GBK" w:hAnsi="方正仿宋_GBK" w:eastAsia="方正仿宋_GBK" w:cs="方正仿宋_GBK"/>
          <w:spacing w:val="11"/>
          <w:sz w:val="32"/>
          <w:szCs w:val="32"/>
        </w:rPr>
        <w:t>质片区，加强周年协同高产高效技术模式推广应用，带动提高</w:t>
      </w:r>
      <w:r>
        <w:rPr>
          <w:rFonts w:hint="eastAsia" w:ascii="方正仿宋_GBK" w:hAnsi="方正仿宋_GBK" w:eastAsia="方正仿宋_GBK" w:cs="方正仿宋_GBK"/>
          <w:spacing w:val="10"/>
          <w:sz w:val="32"/>
          <w:szCs w:val="32"/>
        </w:rPr>
        <w:t>关键技术到位率，促进大面积均衡增产，发展订单生产，推动</w:t>
      </w:r>
      <w:r>
        <w:rPr>
          <w:rFonts w:hint="eastAsia" w:ascii="方正仿宋_GBK" w:hAnsi="方正仿宋_GBK" w:eastAsia="方正仿宋_GBK" w:cs="方正仿宋_GBK"/>
          <w:spacing w:val="5"/>
          <w:sz w:val="32"/>
          <w:szCs w:val="32"/>
        </w:rPr>
        <w:t>优质优价。</w:t>
      </w:r>
    </w:p>
    <w:p w14:paraId="3BF52228">
      <w:pPr>
        <w:keepNext w:val="0"/>
        <w:keepLines w:val="0"/>
        <w:pageBreakBefore w:val="0"/>
        <w:widowControl/>
        <w:numPr>
          <w:ilvl w:val="0"/>
          <w:numId w:val="0"/>
        </w:numPr>
        <w:kinsoku/>
        <w:wordWrap/>
        <w:overflowPunct/>
        <w:topLinePunct w:val="0"/>
        <w:autoSpaceDE w:val="0"/>
        <w:autoSpaceDN w:val="0"/>
        <w:bidi w:val="0"/>
        <w:adjustRightInd w:val="0"/>
        <w:snapToGrid w:val="0"/>
        <w:spacing w:line="592" w:lineRule="exact"/>
        <w:ind w:left="0" w:right="0" w:firstLine="672" w:firstLineChars="200"/>
        <w:textAlignment w:val="baseline"/>
        <w:outlineLvl w:val="1"/>
        <w:rPr>
          <w:rFonts w:hint="eastAsia" w:ascii="方正仿宋_GBK" w:hAnsi="方正仿宋_GBK" w:eastAsia="方正仿宋_GBK" w:cs="方正仿宋_GBK"/>
          <w:snapToGrid w:val="0"/>
          <w:color w:val="000000"/>
          <w:spacing w:val="8"/>
          <w:kern w:val="0"/>
          <w:sz w:val="32"/>
          <w:szCs w:val="32"/>
          <w:lang w:val="en-US" w:eastAsia="en-US" w:bidi="ar-SA"/>
        </w:rPr>
      </w:pPr>
      <w:r>
        <w:rPr>
          <w:rFonts w:hint="eastAsia" w:ascii="方正楷体_GBK" w:hAnsi="方正楷体_GBK" w:eastAsia="方正楷体_GBK" w:cs="方正楷体_GBK"/>
          <w:snapToGrid w:val="0"/>
          <w:color w:val="000000"/>
          <w:spacing w:val="8"/>
          <w:kern w:val="0"/>
          <w:sz w:val="32"/>
          <w:szCs w:val="32"/>
          <w:lang w:val="en-US" w:eastAsia="en-US" w:bidi="ar-SA"/>
        </w:rPr>
        <w:t>（二）支持农田基础设施建设</w:t>
      </w:r>
      <w:r>
        <w:rPr>
          <w:rFonts w:hint="eastAsia" w:ascii="方正仿宋_GBK" w:hAnsi="方正仿宋_GBK" w:eastAsia="方正仿宋_GBK" w:cs="方正仿宋_GBK"/>
          <w:snapToGrid w:val="0"/>
          <w:color w:val="000000"/>
          <w:spacing w:val="8"/>
          <w:kern w:val="0"/>
          <w:sz w:val="32"/>
          <w:szCs w:val="32"/>
          <w:lang w:val="en-US" w:eastAsia="en-US" w:bidi="ar-SA"/>
        </w:rPr>
        <w:t>。支持县（市、区）、省属农场等有关单位新建或改造提升一批高标准农田，省级对高标准农田管护责任落实到位、管护效果明显的县（市、区）进行奖补。继续支持南京市溧水区等13个县（市、区）根据《关于开展耕地有机质提升行动的通知》（苏农建〔2024〕14号）要求实施耕地有机质提升行动，落实“1年深翻+3年连续施用有机肥”技术路径，推广绿色种养循环和有机肥替代化肥等用地养地模式。</w:t>
      </w:r>
    </w:p>
    <w:p w14:paraId="161AD227">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48" w:firstLineChars="200"/>
        <w:textAlignment w:val="baseline"/>
        <w:rPr>
          <w:rFonts w:hint="eastAsia"/>
          <w:spacing w:val="9"/>
          <w:sz w:val="32"/>
          <w:szCs w:val="32"/>
          <w:lang w:eastAsia="zh-CN"/>
        </w:rPr>
      </w:pPr>
      <w:r>
        <w:rPr>
          <w:rFonts w:ascii="方正楷体_GBK" w:hAnsi="方正楷体_GBK" w:eastAsia="方正楷体_GBK" w:cs="方正楷体_GBK"/>
          <w:spacing w:val="2"/>
          <w:sz w:val="32"/>
          <w:szCs w:val="32"/>
        </w:rPr>
        <w:t>（三）支持多元化食物供给体系建设。</w:t>
      </w:r>
      <w:r>
        <w:rPr>
          <w:spacing w:val="2"/>
          <w:sz w:val="32"/>
          <w:szCs w:val="32"/>
        </w:rPr>
        <w:t>实施粮油贷款贴息，</w:t>
      </w:r>
      <w:r>
        <w:rPr>
          <w:spacing w:val="13"/>
          <w:sz w:val="32"/>
          <w:szCs w:val="32"/>
        </w:rPr>
        <w:t>对新型农业经营主体直接用于粮油生产的贷款给予贴息，贴息</w:t>
      </w:r>
      <w:r>
        <w:rPr>
          <w:spacing w:val="22"/>
          <w:sz w:val="32"/>
          <w:szCs w:val="32"/>
        </w:rPr>
        <w:t>比例由各地自主确定。根据《江苏省生猪产能调控实施方案</w:t>
      </w:r>
      <w:r>
        <w:rPr>
          <w:spacing w:val="10"/>
          <w:sz w:val="32"/>
          <w:szCs w:val="32"/>
        </w:rPr>
        <w:t>（</w:t>
      </w:r>
      <w:r>
        <w:rPr>
          <w:rFonts w:ascii="Times New Roman" w:hAnsi="Times New Roman" w:eastAsia="Times New Roman" w:cs="Times New Roman"/>
          <w:spacing w:val="10"/>
          <w:sz w:val="32"/>
          <w:szCs w:val="32"/>
        </w:rPr>
        <w:t>2024</w:t>
      </w:r>
      <w:r>
        <w:rPr>
          <w:spacing w:val="10"/>
          <w:sz w:val="32"/>
          <w:szCs w:val="32"/>
        </w:rPr>
        <w:t>年修订）》，适时启动生猪产能调控贴</w:t>
      </w:r>
      <w:r>
        <w:rPr>
          <w:spacing w:val="9"/>
          <w:sz w:val="32"/>
          <w:szCs w:val="32"/>
        </w:rPr>
        <w:t>息政策，支持</w:t>
      </w:r>
      <w:r>
        <w:rPr>
          <w:rFonts w:hint="eastAsia"/>
          <w:spacing w:val="9"/>
          <w:sz w:val="32"/>
          <w:szCs w:val="32"/>
          <w:lang w:eastAsia="zh-CN"/>
        </w:rPr>
        <w:t>生猪稳产保供。</w:t>
      </w:r>
    </w:p>
    <w:p w14:paraId="61767043">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8" w:firstLineChars="200"/>
        <w:textAlignment w:val="baseline"/>
        <w:rPr>
          <w:spacing w:val="4"/>
          <w:sz w:val="32"/>
          <w:szCs w:val="32"/>
        </w:rPr>
      </w:pPr>
      <w:r>
        <w:rPr>
          <w:rFonts w:ascii="方正楷体_GBK" w:hAnsi="方正楷体_GBK" w:eastAsia="方正楷体_GBK" w:cs="方正楷体_GBK"/>
          <w:spacing w:val="7"/>
          <w:sz w:val="32"/>
          <w:szCs w:val="32"/>
        </w:rPr>
        <w:t>（四）支持现代设施农业发展。</w:t>
      </w:r>
      <w:r>
        <w:rPr>
          <w:spacing w:val="7"/>
          <w:sz w:val="32"/>
          <w:szCs w:val="32"/>
        </w:rPr>
        <w:t>支持农业生产经营主体新</w:t>
      </w:r>
      <w:r>
        <w:rPr>
          <w:spacing w:val="11"/>
          <w:sz w:val="32"/>
          <w:szCs w:val="32"/>
        </w:rPr>
        <w:t>建设施棚室和改造提升老旧设施棚室，提升设施种植标准化、</w:t>
      </w:r>
      <w:r>
        <w:rPr>
          <w:spacing w:val="3"/>
          <w:sz w:val="32"/>
          <w:szCs w:val="32"/>
        </w:rPr>
        <w:t>宜机化、智能化发展水平。支持畜禽养殖场（户）、</w:t>
      </w:r>
      <w:r>
        <w:rPr>
          <w:spacing w:val="2"/>
          <w:sz w:val="32"/>
          <w:szCs w:val="32"/>
        </w:rPr>
        <w:t>畜禽养殖</w:t>
      </w:r>
      <w:r>
        <w:rPr>
          <w:spacing w:val="8"/>
          <w:sz w:val="32"/>
          <w:szCs w:val="32"/>
        </w:rPr>
        <w:t>密集区的粪污集中收集处理中心（运转站）配套完善、改造提</w:t>
      </w:r>
      <w:r>
        <w:rPr>
          <w:spacing w:val="10"/>
          <w:sz w:val="32"/>
          <w:szCs w:val="32"/>
        </w:rPr>
        <w:t>升畜禽粪污处理、臭气减控设施设备，提升畜禽粪污资源化利用水平。支持符合条件的新型农业经营主体开展工厂化循环水</w:t>
      </w:r>
      <w:r>
        <w:rPr>
          <w:spacing w:val="13"/>
          <w:sz w:val="32"/>
          <w:szCs w:val="32"/>
        </w:rPr>
        <w:t>养殖设施和池塘工业化养殖设施建设，提升水产养殖设施化水</w:t>
      </w:r>
      <w:r>
        <w:rPr>
          <w:spacing w:val="7"/>
          <w:sz w:val="32"/>
          <w:szCs w:val="32"/>
        </w:rPr>
        <w:t>平。支持各地继续推进池塘标准化改造，完成省定改造任务。</w:t>
      </w:r>
      <w:r>
        <w:rPr>
          <w:spacing w:val="8"/>
          <w:sz w:val="32"/>
          <w:szCs w:val="32"/>
        </w:rPr>
        <w:t>支持渔业现代化建设重点县（市</w:t>
      </w:r>
      <w:r>
        <w:rPr>
          <w:rFonts w:hint="eastAsia"/>
          <w:spacing w:val="-32"/>
          <w:sz w:val="32"/>
          <w:szCs w:val="32"/>
          <w:lang w:eastAsia="zh-CN"/>
        </w:rPr>
        <w:t>、</w:t>
      </w:r>
      <w:r>
        <w:rPr>
          <w:spacing w:val="8"/>
          <w:sz w:val="32"/>
          <w:szCs w:val="32"/>
        </w:rPr>
        <w:t>区）通过加强养殖生产基础</w:t>
      </w:r>
      <w:r>
        <w:rPr>
          <w:spacing w:val="6"/>
          <w:sz w:val="32"/>
          <w:szCs w:val="32"/>
        </w:rPr>
        <w:t>设施建设等，促进养殖尾水达标，保障水产品质量安全。对符</w:t>
      </w:r>
      <w:r>
        <w:rPr>
          <w:spacing w:val="8"/>
          <w:sz w:val="32"/>
          <w:szCs w:val="32"/>
        </w:rPr>
        <w:t>合贴息条件的农业经营主体开展现代设施农业</w:t>
      </w:r>
      <w:r>
        <w:rPr>
          <w:spacing w:val="7"/>
          <w:sz w:val="32"/>
          <w:szCs w:val="32"/>
        </w:rPr>
        <w:t>建设给予不超过</w:t>
      </w:r>
      <w:r>
        <w:rPr>
          <w:rFonts w:ascii="Times New Roman" w:hAnsi="Times New Roman" w:eastAsia="Times New Roman" w:cs="Times New Roman"/>
          <w:spacing w:val="7"/>
          <w:sz w:val="32"/>
          <w:szCs w:val="32"/>
        </w:rPr>
        <w:t>2%</w:t>
      </w:r>
      <w:r>
        <w:rPr>
          <w:spacing w:val="4"/>
          <w:sz w:val="32"/>
          <w:szCs w:val="32"/>
        </w:rPr>
        <w:t>的贷款贴息，具体要求另行印发。</w:t>
      </w:r>
    </w:p>
    <w:p w14:paraId="46B44D04">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56" w:firstLineChars="200"/>
        <w:textAlignment w:val="baseline"/>
        <w:rPr>
          <w:rFonts w:ascii="方正黑体_GBK" w:hAnsi="方正黑体_GBK" w:eastAsia="方正黑体_GBK" w:cs="方正黑体_GBK"/>
          <w:spacing w:val="4"/>
          <w:sz w:val="32"/>
          <w:szCs w:val="32"/>
        </w:rPr>
      </w:pPr>
      <w:r>
        <w:rPr>
          <w:rFonts w:ascii="方正黑体_GBK" w:hAnsi="方正黑体_GBK" w:eastAsia="方正黑体_GBK" w:cs="方正黑体_GBK"/>
          <w:spacing w:val="4"/>
          <w:sz w:val="32"/>
          <w:szCs w:val="32"/>
        </w:rPr>
        <w:t>二、支持为农服务技术装备提升</w:t>
      </w:r>
    </w:p>
    <w:p w14:paraId="2F67F661">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80" w:firstLineChars="200"/>
        <w:jc w:val="left"/>
        <w:textAlignment w:val="baseline"/>
        <w:rPr>
          <w:spacing w:val="8"/>
          <w:sz w:val="32"/>
          <w:szCs w:val="32"/>
        </w:rPr>
      </w:pPr>
      <w:r>
        <w:rPr>
          <w:rFonts w:ascii="方正楷体_GBK" w:hAnsi="方正楷体_GBK" w:eastAsia="方正楷体_GBK" w:cs="方正楷体_GBK"/>
          <w:spacing w:val="10"/>
          <w:sz w:val="32"/>
          <w:szCs w:val="32"/>
        </w:rPr>
        <w:t>（一）支持区域性农业综合服务中心建设。</w:t>
      </w:r>
      <w:r>
        <w:rPr>
          <w:spacing w:val="8"/>
          <w:sz w:val="32"/>
          <w:szCs w:val="32"/>
        </w:rPr>
        <w:t>支持各地以县域为单位、以规划为引领，依托现有农技推广服务力量和农业社会化服务资源，坚持公益性和市场化相结合，因地制宜推进区域性农业综合服务中心建设，实现农技和农事服务功能合理配置，为小农户和农业生产经营主体集成式提供产前产中产后服务、农技推广应用、农情监测与应急调度、农业智能化管理等全过程全链条的综合性服务。</w:t>
      </w:r>
    </w:p>
    <w:p w14:paraId="05313D1A">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pacing w:val="8"/>
          <w:sz w:val="32"/>
          <w:szCs w:val="32"/>
        </w:rPr>
      </w:pPr>
      <w:r>
        <w:rPr>
          <w:rFonts w:ascii="方正楷体_GBK" w:hAnsi="方正楷体_GBK" w:eastAsia="方正楷体_GBK" w:cs="方正楷体_GBK"/>
          <w:spacing w:val="8"/>
          <w:sz w:val="32"/>
          <w:szCs w:val="32"/>
        </w:rPr>
        <w:t>（二）支持现代农业关键技术集成推广。</w:t>
      </w:r>
      <w:r>
        <w:rPr>
          <w:spacing w:val="8"/>
          <w:sz w:val="32"/>
          <w:szCs w:val="32"/>
        </w:rPr>
        <w:t>省级采用竞争立项方式支持市级及以上农业技术推广单位、涉农科研教学单位，重点围绕粮食和重要农产品稳定安全供给，实施科技支撑粮油大面积单产提升和特色主导产业提质增效项目，开展现代农业关键技术集成与示范推广，加快集成推广一批能迅速转化为新质生产力的农业标志性成果。</w:t>
      </w:r>
    </w:p>
    <w:p w14:paraId="5FB65805">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z w:val="32"/>
          <w:szCs w:val="32"/>
        </w:rPr>
      </w:pPr>
      <w:r>
        <w:rPr>
          <w:rFonts w:ascii="方正楷体_GBK" w:hAnsi="方正楷体_GBK" w:eastAsia="方正楷体_GBK" w:cs="方正楷体_GBK"/>
          <w:spacing w:val="8"/>
          <w:sz w:val="32"/>
          <w:szCs w:val="32"/>
        </w:rPr>
        <w:t>（三）支持现代农机装备与技术推广。</w:t>
      </w:r>
      <w:r>
        <w:rPr>
          <w:spacing w:val="8"/>
          <w:sz w:val="32"/>
          <w:szCs w:val="32"/>
        </w:rPr>
        <w:t>支持</w:t>
      </w:r>
      <w:r>
        <w:rPr>
          <w:spacing w:val="7"/>
          <w:sz w:val="32"/>
          <w:szCs w:val="32"/>
        </w:rPr>
        <w:t>从事农业生产</w:t>
      </w:r>
      <w:r>
        <w:rPr>
          <w:spacing w:val="13"/>
          <w:sz w:val="32"/>
          <w:szCs w:val="32"/>
        </w:rPr>
        <w:t>的农民和农业生产经营组织，购置使用纳入中央和省级</w:t>
      </w:r>
      <w:r>
        <w:rPr>
          <w:spacing w:val="12"/>
          <w:sz w:val="32"/>
          <w:szCs w:val="32"/>
        </w:rPr>
        <w:t>农机购</w:t>
      </w:r>
      <w:r>
        <w:rPr>
          <w:spacing w:val="5"/>
          <w:sz w:val="32"/>
          <w:szCs w:val="32"/>
        </w:rPr>
        <w:t>置与应用补贴范围的机具，具体按照《</w:t>
      </w:r>
      <w:r>
        <w:rPr>
          <w:rFonts w:ascii="Times New Roman" w:hAnsi="Times New Roman" w:eastAsia="Times New Roman" w:cs="Times New Roman"/>
          <w:spacing w:val="5"/>
          <w:sz w:val="32"/>
          <w:szCs w:val="32"/>
        </w:rPr>
        <w:t>2024-2026</w:t>
      </w:r>
      <w:r>
        <w:rPr>
          <w:spacing w:val="5"/>
          <w:sz w:val="32"/>
          <w:szCs w:val="32"/>
        </w:rPr>
        <w:t>年江苏省农机购置与应用补贴实施意见》（苏农机〔</w:t>
      </w:r>
      <w:r>
        <w:rPr>
          <w:rFonts w:ascii="Times New Roman" w:hAnsi="Times New Roman" w:eastAsia="Times New Roman" w:cs="Times New Roman"/>
          <w:spacing w:val="5"/>
          <w:sz w:val="32"/>
          <w:szCs w:val="32"/>
        </w:rPr>
        <w:t>2024</w:t>
      </w:r>
      <w:r>
        <w:rPr>
          <w:spacing w:val="5"/>
          <w:sz w:val="32"/>
          <w:szCs w:val="32"/>
        </w:rPr>
        <w:t>〕</w:t>
      </w:r>
      <w:r>
        <w:rPr>
          <w:rFonts w:ascii="Times New Roman" w:hAnsi="Times New Roman" w:eastAsia="Times New Roman" w:cs="Times New Roman"/>
          <w:spacing w:val="5"/>
          <w:sz w:val="32"/>
          <w:szCs w:val="32"/>
        </w:rPr>
        <w:t>19</w:t>
      </w:r>
      <w:r>
        <w:rPr>
          <w:spacing w:val="5"/>
          <w:sz w:val="32"/>
          <w:szCs w:val="32"/>
        </w:rPr>
        <w:t>号）等要求执</w:t>
      </w:r>
      <w:r>
        <w:rPr>
          <w:sz w:val="32"/>
          <w:szCs w:val="32"/>
        </w:rPr>
        <w:t>行。聚焦粮油单产提升、设施园艺、果茶桑、畜牧养殖、水产</w:t>
      </w:r>
      <w:r>
        <w:rPr>
          <w:spacing w:val="9"/>
          <w:sz w:val="32"/>
          <w:szCs w:val="32"/>
        </w:rPr>
        <w:t>养殖、农产品初加工等农机装备短板弱项，瞄准全省或本地区</w:t>
      </w:r>
      <w:r>
        <w:rPr>
          <w:spacing w:val="13"/>
          <w:sz w:val="32"/>
          <w:szCs w:val="32"/>
        </w:rPr>
        <w:t>农作物生产，尤其是特色产业关键或薄弱环节机械化装</w:t>
      </w:r>
      <w:r>
        <w:rPr>
          <w:spacing w:val="12"/>
          <w:sz w:val="32"/>
          <w:szCs w:val="32"/>
        </w:rPr>
        <w:t>备与技</w:t>
      </w:r>
      <w:r>
        <w:rPr>
          <w:spacing w:val="10"/>
          <w:sz w:val="32"/>
          <w:szCs w:val="32"/>
        </w:rPr>
        <w:t>术的研究开发、试验和应用推广，采用省级竞争立项方式支持实施一批一体化补短板和产业化推广应用项目。支持相关地区</w:t>
      </w:r>
      <w:r>
        <w:rPr>
          <w:spacing w:val="9"/>
          <w:sz w:val="32"/>
          <w:szCs w:val="32"/>
        </w:rPr>
        <w:t>完成农业生产全程全面机械化整县推进项目任务。</w:t>
      </w:r>
    </w:p>
    <w:p w14:paraId="731C8DF7">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4" w:firstLineChars="200"/>
        <w:textAlignment w:val="baseline"/>
        <w:rPr>
          <w:spacing w:val="6"/>
          <w:sz w:val="32"/>
          <w:szCs w:val="32"/>
        </w:rPr>
      </w:pPr>
      <w:r>
        <w:rPr>
          <w:rFonts w:ascii="方正楷体_GBK" w:hAnsi="方正楷体_GBK" w:eastAsia="方正楷体_GBK" w:cs="方正楷体_GBK"/>
          <w:spacing w:val="6"/>
          <w:sz w:val="32"/>
          <w:szCs w:val="32"/>
        </w:rPr>
        <w:t>（四）支持现代种业发展。</w:t>
      </w:r>
      <w:r>
        <w:rPr>
          <w:spacing w:val="6"/>
          <w:sz w:val="32"/>
          <w:szCs w:val="32"/>
        </w:rPr>
        <w:t>支持符合条件的省级农作物、</w:t>
      </w:r>
      <w:r>
        <w:rPr>
          <w:spacing w:val="8"/>
          <w:sz w:val="32"/>
          <w:szCs w:val="32"/>
        </w:rPr>
        <w:t>农业微生物种质资源库（圃）和省级畜禽（</w:t>
      </w:r>
      <w:r>
        <w:rPr>
          <w:spacing w:val="7"/>
          <w:sz w:val="32"/>
          <w:szCs w:val="32"/>
        </w:rPr>
        <w:t>含蚕）遗传资源保</w:t>
      </w:r>
      <w:r>
        <w:rPr>
          <w:spacing w:val="9"/>
          <w:sz w:val="32"/>
          <w:szCs w:val="32"/>
        </w:rPr>
        <w:t>种场（保护区、基因库）等开展农业种质资源收集保</w:t>
      </w:r>
      <w:r>
        <w:rPr>
          <w:spacing w:val="8"/>
          <w:sz w:val="32"/>
          <w:szCs w:val="32"/>
        </w:rPr>
        <w:t>护和开发利用。支持符合条件的水产苗种生产、繁育</w:t>
      </w:r>
      <w:r>
        <w:rPr>
          <w:spacing w:val="7"/>
          <w:sz w:val="32"/>
          <w:szCs w:val="32"/>
        </w:rPr>
        <w:t>单位开展特色经济</w:t>
      </w:r>
      <w:r>
        <w:rPr>
          <w:sz w:val="32"/>
          <w:szCs w:val="32"/>
        </w:rPr>
        <w:t>品种、珍贵濒危、区域性物种等原种保存、良种培</w:t>
      </w:r>
      <w:r>
        <w:rPr>
          <w:spacing w:val="-1"/>
          <w:sz w:val="32"/>
          <w:szCs w:val="32"/>
        </w:rPr>
        <w:t>育、亲本更</w:t>
      </w:r>
      <w:r>
        <w:rPr>
          <w:spacing w:val="5"/>
          <w:sz w:val="32"/>
          <w:szCs w:val="32"/>
        </w:rPr>
        <w:t>新等保种育种工作。支持种子市场例行检测、农作物品种综合性</w:t>
      </w:r>
      <w:r>
        <w:rPr>
          <w:spacing w:val="6"/>
          <w:sz w:val="32"/>
          <w:szCs w:val="32"/>
        </w:rPr>
        <w:t>测试、展示和种畜禽质量安全监管。</w:t>
      </w:r>
    </w:p>
    <w:p w14:paraId="5A61EDC4">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44" w:firstLineChars="200"/>
        <w:textAlignment w:val="baseline"/>
        <w:rPr>
          <w:rFonts w:ascii="方正黑体_GBK" w:hAnsi="方正黑体_GBK" w:eastAsia="方正黑体_GBK" w:cs="方正黑体_GBK"/>
          <w:sz w:val="32"/>
          <w:szCs w:val="32"/>
        </w:rPr>
      </w:pPr>
      <w:r>
        <w:rPr>
          <w:rFonts w:ascii="方正黑体_GBK" w:hAnsi="方正黑体_GBK" w:eastAsia="方正黑体_GBK" w:cs="方正黑体_GBK"/>
          <w:spacing w:val="1"/>
          <w:sz w:val="32"/>
          <w:szCs w:val="32"/>
        </w:rPr>
        <w:t>三、支持智慧农业建设</w:t>
      </w:r>
    </w:p>
    <w:p w14:paraId="6E7E3D90">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z w:val="32"/>
          <w:szCs w:val="32"/>
        </w:rPr>
      </w:pPr>
      <w:r>
        <w:rPr>
          <w:rFonts w:ascii="方正楷体_GBK" w:hAnsi="方正楷体_GBK" w:eastAsia="方正楷体_GBK" w:cs="方正楷体_GBK"/>
          <w:spacing w:val="8"/>
          <w:sz w:val="32"/>
          <w:szCs w:val="32"/>
        </w:rPr>
        <w:t>（一）支持智慧农场建设。</w:t>
      </w:r>
      <w:r>
        <w:rPr>
          <w:spacing w:val="8"/>
          <w:sz w:val="32"/>
          <w:szCs w:val="32"/>
        </w:rPr>
        <w:t>支持农业生产经</w:t>
      </w:r>
      <w:r>
        <w:rPr>
          <w:spacing w:val="7"/>
          <w:sz w:val="32"/>
          <w:szCs w:val="32"/>
        </w:rPr>
        <w:t>营规模主体因</w:t>
      </w:r>
      <w:r>
        <w:rPr>
          <w:spacing w:val="8"/>
          <w:sz w:val="32"/>
          <w:szCs w:val="32"/>
        </w:rPr>
        <w:t>地制宜配备作物生产智能感知、智能分析、智能控制等</w:t>
      </w:r>
      <w:r>
        <w:rPr>
          <w:spacing w:val="7"/>
          <w:sz w:val="32"/>
          <w:szCs w:val="32"/>
        </w:rPr>
        <w:t>设施装</w:t>
      </w:r>
      <w:r>
        <w:rPr>
          <w:spacing w:val="6"/>
          <w:sz w:val="32"/>
          <w:szCs w:val="32"/>
        </w:rPr>
        <w:t>备、综合管理系统等，打造大田、设施生产智慧场景。支持建</w:t>
      </w:r>
      <w:r>
        <w:rPr>
          <w:spacing w:val="11"/>
          <w:sz w:val="32"/>
          <w:szCs w:val="32"/>
        </w:rPr>
        <w:t>设稻麦周年生产智慧农场（农机方向</w:t>
      </w:r>
      <w:r>
        <w:rPr>
          <w:spacing w:val="7"/>
          <w:sz w:val="32"/>
          <w:szCs w:val="32"/>
        </w:rPr>
        <w:t>），</w:t>
      </w:r>
      <w:r>
        <w:rPr>
          <w:spacing w:val="11"/>
          <w:sz w:val="32"/>
          <w:szCs w:val="32"/>
        </w:rPr>
        <w:t>实现稻麦生产耕种管</w:t>
      </w:r>
      <w:r>
        <w:rPr>
          <w:spacing w:val="5"/>
          <w:sz w:val="32"/>
          <w:szCs w:val="32"/>
        </w:rPr>
        <w:t>收等全生产环节无人化驾驶、精准化作业、信息化监测、智能</w:t>
      </w:r>
      <w:r>
        <w:rPr>
          <w:spacing w:val="8"/>
          <w:sz w:val="32"/>
          <w:szCs w:val="32"/>
        </w:rPr>
        <w:t>化管控，推进智能农机应用场景建设。</w:t>
      </w:r>
    </w:p>
    <w:p w14:paraId="0B25F545">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56" w:firstLineChars="200"/>
        <w:textAlignment w:val="baseline"/>
        <w:rPr>
          <w:sz w:val="32"/>
          <w:szCs w:val="32"/>
        </w:rPr>
      </w:pPr>
      <w:r>
        <w:rPr>
          <w:rFonts w:ascii="方正楷体_GBK" w:hAnsi="方正楷体_GBK" w:eastAsia="方正楷体_GBK" w:cs="方正楷体_GBK"/>
          <w:spacing w:val="4"/>
          <w:sz w:val="32"/>
          <w:szCs w:val="32"/>
        </w:rPr>
        <w:t>（二）支持智慧渔场建设。</w:t>
      </w:r>
      <w:r>
        <w:rPr>
          <w:spacing w:val="4"/>
          <w:sz w:val="32"/>
          <w:szCs w:val="32"/>
        </w:rPr>
        <w:t>聚焦水质调控、投</w:t>
      </w:r>
      <w:r>
        <w:rPr>
          <w:spacing w:val="3"/>
          <w:sz w:val="32"/>
          <w:szCs w:val="32"/>
        </w:rPr>
        <w:t>入品使用、</w:t>
      </w:r>
      <w:r>
        <w:rPr>
          <w:spacing w:val="10"/>
          <w:sz w:val="32"/>
          <w:szCs w:val="32"/>
        </w:rPr>
        <w:t>病害防控、尾水处理等渔业生产关键环节，支持符合条件的单</w:t>
      </w:r>
      <w:r>
        <w:rPr>
          <w:spacing w:val="13"/>
          <w:sz w:val="32"/>
          <w:szCs w:val="32"/>
        </w:rPr>
        <w:t>位科学配备智能化装备和信息系统，开展智慧渔场建设，提升</w:t>
      </w:r>
      <w:r>
        <w:rPr>
          <w:spacing w:val="8"/>
          <w:sz w:val="32"/>
          <w:szCs w:val="32"/>
        </w:rPr>
        <w:t>渔业生产设施和装备智能化水平。</w:t>
      </w:r>
    </w:p>
    <w:p w14:paraId="5544334C">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8" w:firstLineChars="200"/>
        <w:textAlignment w:val="baseline"/>
        <w:rPr>
          <w:sz w:val="32"/>
          <w:szCs w:val="32"/>
        </w:rPr>
      </w:pPr>
      <w:r>
        <w:rPr>
          <w:rFonts w:ascii="方正楷体_GBK" w:hAnsi="方正楷体_GBK" w:eastAsia="方正楷体_GBK" w:cs="方正楷体_GBK"/>
          <w:spacing w:val="7"/>
          <w:sz w:val="32"/>
          <w:szCs w:val="32"/>
        </w:rPr>
        <w:t>（三）支持智慧牧场建设。</w:t>
      </w:r>
      <w:r>
        <w:rPr>
          <w:spacing w:val="7"/>
          <w:sz w:val="32"/>
          <w:szCs w:val="32"/>
        </w:rPr>
        <w:t>支持畜禽规模养殖场开展智慧</w:t>
      </w:r>
      <w:r>
        <w:rPr>
          <w:spacing w:val="2"/>
          <w:sz w:val="32"/>
          <w:szCs w:val="32"/>
        </w:rPr>
        <w:t>化建设，包括智能环境监控、精准饲喂、智能</w:t>
      </w:r>
      <w:r>
        <w:rPr>
          <w:spacing w:val="1"/>
          <w:sz w:val="32"/>
          <w:szCs w:val="32"/>
        </w:rPr>
        <w:t>巡检、产品采集、</w:t>
      </w:r>
      <w:r>
        <w:rPr>
          <w:spacing w:val="10"/>
          <w:sz w:val="32"/>
          <w:szCs w:val="32"/>
        </w:rPr>
        <w:t>性能测定、疫病防控等智慧化设施设备和智慧化管理系统的购</w:t>
      </w:r>
      <w:r>
        <w:rPr>
          <w:sz w:val="32"/>
          <w:szCs w:val="32"/>
        </w:rPr>
        <w:t>置、更新、改造升级，提升全省畜牧业智慧化水平。</w:t>
      </w:r>
    </w:p>
    <w:p w14:paraId="6DDC4688">
      <w:pPr>
        <w:keepNext w:val="0"/>
        <w:keepLines w:val="0"/>
        <w:pageBreakBefore w:val="0"/>
        <w:widowControl/>
        <w:kinsoku/>
        <w:wordWrap/>
        <w:overflowPunct/>
        <w:topLinePunct w:val="0"/>
        <w:autoSpaceDE w:val="0"/>
        <w:autoSpaceDN w:val="0"/>
        <w:bidi w:val="0"/>
        <w:adjustRightInd w:val="0"/>
        <w:snapToGrid w:val="0"/>
        <w:spacing w:line="592" w:lineRule="exact"/>
        <w:ind w:left="0" w:right="0" w:firstLine="640" w:firstLineChars="200"/>
        <w:textAlignment w:val="baseline"/>
        <w:outlineLvl w:val="1"/>
        <w:rPr>
          <w:rFonts w:ascii="方正黑体_GBK" w:hAnsi="方正黑体_GBK" w:eastAsia="方正黑体_GBK" w:cs="方正黑体_GBK"/>
          <w:sz w:val="32"/>
          <w:szCs w:val="32"/>
        </w:rPr>
      </w:pPr>
      <w:r>
        <w:rPr>
          <w:rFonts w:ascii="方正黑体_GBK" w:hAnsi="方正黑体_GBK" w:eastAsia="方正黑体_GBK" w:cs="方正黑体_GBK"/>
          <w:sz w:val="32"/>
          <w:szCs w:val="32"/>
        </w:rPr>
        <w:t>四、支持农业安全生产</w:t>
      </w:r>
    </w:p>
    <w:p w14:paraId="63D53271">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rFonts w:ascii="方正楷体_GBK" w:hAnsi="方正楷体_GBK" w:eastAsia="方正楷体_GBK" w:cs="方正楷体_GBK"/>
          <w:spacing w:val="3"/>
          <w:sz w:val="32"/>
          <w:szCs w:val="32"/>
        </w:rPr>
      </w:pPr>
      <w:r>
        <w:rPr>
          <w:rFonts w:ascii="方正楷体_GBK" w:hAnsi="方正楷体_GBK" w:eastAsia="方正楷体_GBK" w:cs="方正楷体_GBK"/>
          <w:spacing w:val="8"/>
          <w:sz w:val="32"/>
          <w:szCs w:val="32"/>
        </w:rPr>
        <w:t>（一）支持农业生产应急救灾。</w:t>
      </w:r>
      <w:r>
        <w:rPr>
          <w:spacing w:val="8"/>
          <w:sz w:val="32"/>
          <w:szCs w:val="32"/>
        </w:rPr>
        <w:t>支持各地农业农村</w:t>
      </w:r>
      <w:r>
        <w:rPr>
          <w:spacing w:val="7"/>
          <w:sz w:val="32"/>
          <w:szCs w:val="32"/>
        </w:rPr>
        <w:t>部门落</w:t>
      </w:r>
      <w:r>
        <w:rPr>
          <w:spacing w:val="10"/>
          <w:sz w:val="32"/>
          <w:szCs w:val="32"/>
        </w:rPr>
        <w:t>实农业防灾减灾救灾任务，对承担农业防灾减灾救灾任务、符</w:t>
      </w:r>
      <w:r>
        <w:rPr>
          <w:spacing w:val="13"/>
          <w:sz w:val="32"/>
          <w:szCs w:val="32"/>
        </w:rPr>
        <w:t>合条件的受灾主体给予补助，推动灾后恢复生产，支持开展土</w:t>
      </w:r>
      <w:r>
        <w:rPr>
          <w:spacing w:val="4"/>
          <w:sz w:val="32"/>
          <w:szCs w:val="32"/>
        </w:rPr>
        <w:t>壤墒情监测，做好干旱、涝渍的农业灾害预</w:t>
      </w:r>
      <w:r>
        <w:rPr>
          <w:spacing w:val="3"/>
          <w:sz w:val="32"/>
          <w:szCs w:val="32"/>
        </w:rPr>
        <w:t>警预报</w:t>
      </w:r>
      <w:r>
        <w:rPr>
          <w:rFonts w:ascii="方正楷体_GBK" w:hAnsi="方正楷体_GBK" w:eastAsia="方正楷体_GBK" w:cs="方正楷体_GBK"/>
          <w:spacing w:val="3"/>
          <w:sz w:val="32"/>
          <w:szCs w:val="32"/>
        </w:rPr>
        <w:t>。</w:t>
      </w:r>
    </w:p>
    <w:p w14:paraId="2FF13755">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4" w:firstLineChars="200"/>
        <w:textAlignment w:val="baseline"/>
        <w:rPr>
          <w:sz w:val="32"/>
          <w:szCs w:val="32"/>
        </w:rPr>
      </w:pPr>
      <w:r>
        <w:rPr>
          <w:rFonts w:ascii="方正楷体_GBK" w:hAnsi="方正楷体_GBK" w:eastAsia="方正楷体_GBK" w:cs="方正楷体_GBK"/>
          <w:spacing w:val="6"/>
          <w:sz w:val="32"/>
          <w:szCs w:val="32"/>
        </w:rPr>
        <w:t>（二）支持动植物病虫害防控。</w:t>
      </w:r>
      <w:r>
        <w:rPr>
          <w:spacing w:val="6"/>
          <w:sz w:val="32"/>
          <w:szCs w:val="32"/>
        </w:rPr>
        <w:t>支持各地开展强制扑杀、强制免疫、先打后补、养殖和屠宰环节病死猪（病害产品）无</w:t>
      </w:r>
      <w:r>
        <w:rPr>
          <w:spacing w:val="4"/>
          <w:sz w:val="32"/>
          <w:szCs w:val="32"/>
        </w:rPr>
        <w:t>害化处理、主要动物疫病流调监测、人兽共患病防控、动物疫</w:t>
      </w:r>
      <w:r>
        <w:rPr>
          <w:spacing w:val="8"/>
          <w:sz w:val="32"/>
          <w:szCs w:val="32"/>
        </w:rPr>
        <w:t>病净化和无疫小区建设、兽医社会化服务等工</w:t>
      </w:r>
      <w:r>
        <w:rPr>
          <w:spacing w:val="7"/>
          <w:sz w:val="32"/>
          <w:szCs w:val="32"/>
        </w:rPr>
        <w:t>作。支持省际动</w:t>
      </w:r>
      <w:r>
        <w:rPr>
          <w:spacing w:val="10"/>
          <w:sz w:val="32"/>
          <w:szCs w:val="32"/>
        </w:rPr>
        <w:t>物卫生监督检查站稳定开展入苏动物检查消毒。支持各地水生动物疫病预防控制机构开展重大水生动物疫病监控、采送样和</w:t>
      </w:r>
      <w:r>
        <w:rPr>
          <w:spacing w:val="11"/>
          <w:sz w:val="32"/>
          <w:szCs w:val="32"/>
        </w:rPr>
        <w:t>病害测报工作，做好疫病应急防控处置和规范</w:t>
      </w:r>
      <w:r>
        <w:rPr>
          <w:spacing w:val="10"/>
          <w:sz w:val="32"/>
          <w:szCs w:val="32"/>
        </w:rPr>
        <w:t>用药指导，推进</w:t>
      </w:r>
      <w:r>
        <w:rPr>
          <w:spacing w:val="13"/>
          <w:sz w:val="32"/>
          <w:szCs w:val="32"/>
        </w:rPr>
        <w:t>水产养殖用药减量，水生动物卫生监督机构开展水产苗种产地</w:t>
      </w:r>
      <w:r>
        <w:rPr>
          <w:spacing w:val="10"/>
          <w:sz w:val="32"/>
          <w:szCs w:val="32"/>
        </w:rPr>
        <w:t>检疫。支持各地开展小麦赤霉病等农作物重大病虫应</w:t>
      </w:r>
      <w:r>
        <w:rPr>
          <w:spacing w:val="9"/>
          <w:sz w:val="32"/>
          <w:szCs w:val="32"/>
        </w:rPr>
        <w:t>急防控，</w:t>
      </w:r>
      <w:r>
        <w:rPr>
          <w:spacing w:val="6"/>
          <w:sz w:val="32"/>
          <w:szCs w:val="32"/>
        </w:rPr>
        <w:t>重大植物疫情处置，组织相关主体开展重大病虫疫情监测</w:t>
      </w:r>
      <w:r>
        <w:rPr>
          <w:spacing w:val="5"/>
          <w:sz w:val="32"/>
          <w:szCs w:val="32"/>
        </w:rPr>
        <w:t>调查、</w:t>
      </w:r>
      <w:r>
        <w:rPr>
          <w:spacing w:val="8"/>
          <w:sz w:val="32"/>
          <w:szCs w:val="32"/>
        </w:rPr>
        <w:t>病虫草抗药性和农药有效性监测、农田杂草综</w:t>
      </w:r>
      <w:r>
        <w:rPr>
          <w:spacing w:val="7"/>
          <w:sz w:val="32"/>
          <w:szCs w:val="32"/>
        </w:rPr>
        <w:t>合治理等工作。</w:t>
      </w:r>
    </w:p>
    <w:p w14:paraId="49F4A96F">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rFonts w:hint="eastAsia"/>
          <w:spacing w:val="7"/>
          <w:sz w:val="32"/>
          <w:szCs w:val="32"/>
          <w:lang w:eastAsia="zh-CN"/>
        </w:rPr>
      </w:pPr>
      <w:r>
        <w:rPr>
          <w:rFonts w:ascii="方正楷体_GBK" w:hAnsi="方正楷体_GBK" w:eastAsia="方正楷体_GBK" w:cs="方正楷体_GBK"/>
          <w:spacing w:val="8"/>
          <w:sz w:val="32"/>
          <w:szCs w:val="32"/>
        </w:rPr>
        <w:t>（三）支持农产品质量安全监管。</w:t>
      </w:r>
      <w:r>
        <w:rPr>
          <w:spacing w:val="8"/>
          <w:sz w:val="32"/>
          <w:szCs w:val="32"/>
        </w:rPr>
        <w:t>支持市级</w:t>
      </w:r>
      <w:r>
        <w:rPr>
          <w:spacing w:val="7"/>
          <w:sz w:val="32"/>
          <w:szCs w:val="32"/>
        </w:rPr>
        <w:t>监管部门围绕</w:t>
      </w:r>
      <w:r>
        <w:rPr>
          <w:spacing w:val="10"/>
          <w:sz w:val="32"/>
          <w:szCs w:val="32"/>
        </w:rPr>
        <w:t>农产品重点品种药残问题攻坚治理、直供学校种植养殖主体质</w:t>
      </w:r>
      <w:r>
        <w:rPr>
          <w:spacing w:val="11"/>
          <w:sz w:val="32"/>
          <w:szCs w:val="32"/>
        </w:rPr>
        <w:t>量安全监管、地方特色品种精准治理和农产品监督抽查等重点</w:t>
      </w:r>
      <w:r>
        <w:rPr>
          <w:spacing w:val="5"/>
          <w:sz w:val="32"/>
          <w:szCs w:val="32"/>
        </w:rPr>
        <w:t>工作，按规定持续开展省级例行监测、监督抽查（取样）、专</w:t>
      </w:r>
      <w:r>
        <w:rPr>
          <w:spacing w:val="8"/>
          <w:sz w:val="32"/>
          <w:szCs w:val="32"/>
        </w:rPr>
        <w:t>项风险评估和监管能力建设。支持涉农乡镇、规模收储</w:t>
      </w:r>
      <w:r>
        <w:rPr>
          <w:spacing w:val="7"/>
          <w:sz w:val="32"/>
          <w:szCs w:val="32"/>
        </w:rPr>
        <w:t>主体开</w:t>
      </w:r>
      <w:r>
        <w:rPr>
          <w:spacing w:val="14"/>
          <w:sz w:val="32"/>
          <w:szCs w:val="32"/>
        </w:rPr>
        <w:t>展</w:t>
      </w:r>
      <w:r>
        <w:rPr>
          <w:rFonts w:ascii="Times New Roman" w:hAnsi="Times New Roman" w:eastAsia="Times New Roman" w:cs="Times New Roman"/>
          <w:spacing w:val="14"/>
          <w:sz w:val="32"/>
          <w:szCs w:val="32"/>
        </w:rPr>
        <w:t>“</w:t>
      </w:r>
      <w:r>
        <w:rPr>
          <w:spacing w:val="14"/>
          <w:sz w:val="32"/>
          <w:szCs w:val="32"/>
        </w:rPr>
        <w:t>三前</w:t>
      </w:r>
      <w:r>
        <w:rPr>
          <w:rFonts w:ascii="Times New Roman" w:hAnsi="Times New Roman" w:eastAsia="Times New Roman" w:cs="Times New Roman"/>
          <w:spacing w:val="14"/>
          <w:sz w:val="32"/>
          <w:szCs w:val="32"/>
        </w:rPr>
        <w:t>”</w:t>
      </w:r>
      <w:r>
        <w:rPr>
          <w:spacing w:val="14"/>
          <w:sz w:val="32"/>
          <w:szCs w:val="32"/>
        </w:rPr>
        <w:t>环节农兽药残留速测筛查和日常监</w:t>
      </w:r>
      <w:r>
        <w:rPr>
          <w:spacing w:val="13"/>
          <w:sz w:val="32"/>
          <w:szCs w:val="32"/>
        </w:rPr>
        <w:t>管，提高问题产品</w:t>
      </w:r>
      <w:r>
        <w:rPr>
          <w:spacing w:val="8"/>
          <w:sz w:val="32"/>
          <w:szCs w:val="32"/>
        </w:rPr>
        <w:t>溯源能力，落实承诺达标合格证制度。支持市级农产品质检机</w:t>
      </w:r>
      <w:r>
        <w:rPr>
          <w:spacing w:val="13"/>
          <w:sz w:val="32"/>
          <w:szCs w:val="32"/>
        </w:rPr>
        <w:t>构改善检验检测基础设施条件，增扩检测参数项目，提高检验</w:t>
      </w:r>
      <w:r>
        <w:rPr>
          <w:spacing w:val="7"/>
          <w:sz w:val="32"/>
          <w:szCs w:val="32"/>
        </w:rPr>
        <w:t>检测技术支撑能力</w:t>
      </w:r>
      <w:r>
        <w:rPr>
          <w:rFonts w:hint="eastAsia"/>
          <w:spacing w:val="7"/>
          <w:sz w:val="32"/>
          <w:szCs w:val="32"/>
          <w:lang w:eastAsia="zh-CN"/>
        </w:rPr>
        <w:t>。</w:t>
      </w:r>
    </w:p>
    <w:p w14:paraId="1D9232DB">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rFonts w:hint="eastAsia" w:ascii="方正仿宋_GBK" w:hAnsi="方正仿宋_GBK" w:eastAsia="方正仿宋_GBK" w:cs="方正仿宋_GBK"/>
          <w:snapToGrid w:val="0"/>
          <w:color w:val="000000"/>
          <w:spacing w:val="8"/>
          <w:kern w:val="0"/>
          <w:sz w:val="32"/>
          <w:szCs w:val="32"/>
          <w:lang w:val="en-US" w:eastAsia="en-US" w:bidi="ar-SA"/>
        </w:rPr>
      </w:pPr>
      <w:r>
        <w:rPr>
          <w:rFonts w:hint="eastAsia" w:ascii="方正楷体_GBK" w:hAnsi="方正楷体_GBK" w:eastAsia="方正楷体_GBK" w:cs="方正楷体_GBK"/>
          <w:snapToGrid w:val="0"/>
          <w:color w:val="000000"/>
          <w:spacing w:val="8"/>
          <w:kern w:val="0"/>
          <w:sz w:val="32"/>
          <w:szCs w:val="32"/>
          <w:lang w:val="en-US" w:eastAsia="en-US" w:bidi="ar-SA"/>
        </w:rPr>
        <w:t>（四）支持农业综合执法及生产安全监管</w:t>
      </w:r>
      <w:r>
        <w:rPr>
          <w:rFonts w:hint="eastAsia" w:ascii="方正仿宋_GBK" w:hAnsi="方正仿宋_GBK" w:eastAsia="方正仿宋_GBK" w:cs="方正仿宋_GBK"/>
          <w:snapToGrid w:val="0"/>
          <w:color w:val="000000"/>
          <w:spacing w:val="8"/>
          <w:kern w:val="0"/>
          <w:sz w:val="32"/>
          <w:szCs w:val="32"/>
          <w:lang w:val="en-US" w:eastAsia="en-US" w:bidi="ar-SA"/>
        </w:rPr>
        <w:t>。支持各地农业、农机、渔政执法机构根据工作需要配备更新必要的执法设施设备，加大执法检查力度，提升执法能力。支持各地依据职能范围开展农药安全监管、畜牧兽医重点领域安全生产监管和隐患排查、农村沼气设施安全处置和农村能源安全生产排查整治、农机事故应急处置演练、农机质量调查、农机质量投诉站建设。</w:t>
      </w:r>
    </w:p>
    <w:p w14:paraId="59A3CC86">
      <w:pPr>
        <w:keepNext w:val="0"/>
        <w:keepLines w:val="0"/>
        <w:pageBreakBefore w:val="0"/>
        <w:widowControl/>
        <w:kinsoku/>
        <w:wordWrap/>
        <w:overflowPunct/>
        <w:topLinePunct w:val="0"/>
        <w:autoSpaceDE w:val="0"/>
        <w:autoSpaceDN w:val="0"/>
        <w:bidi w:val="0"/>
        <w:adjustRightInd w:val="0"/>
        <w:snapToGrid w:val="0"/>
        <w:spacing w:line="592" w:lineRule="exact"/>
        <w:ind w:left="0" w:right="0" w:firstLine="648" w:firstLineChars="200"/>
        <w:textAlignment w:val="baseline"/>
        <w:outlineLvl w:val="1"/>
        <w:rPr>
          <w:rFonts w:ascii="方正黑体_GBK" w:hAnsi="方正黑体_GBK" w:eastAsia="方正黑体_GBK" w:cs="方正黑体_GBK"/>
          <w:sz w:val="32"/>
          <w:szCs w:val="32"/>
        </w:rPr>
      </w:pPr>
      <w:r>
        <w:rPr>
          <w:rFonts w:ascii="方正黑体_GBK" w:hAnsi="方正黑体_GBK" w:eastAsia="方正黑体_GBK" w:cs="方正黑体_GBK"/>
          <w:spacing w:val="2"/>
          <w:sz w:val="32"/>
          <w:szCs w:val="32"/>
        </w:rPr>
        <w:t>五、支持富民产业发展</w:t>
      </w:r>
    </w:p>
    <w:p w14:paraId="34555113">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0" w:firstLineChars="200"/>
        <w:textAlignment w:val="baseline"/>
        <w:rPr>
          <w:sz w:val="32"/>
          <w:szCs w:val="32"/>
        </w:rPr>
      </w:pPr>
      <w:r>
        <w:rPr>
          <w:rFonts w:ascii="方正楷体_GBK" w:hAnsi="方正楷体_GBK" w:eastAsia="方正楷体_GBK" w:cs="方正楷体_GBK"/>
          <w:spacing w:val="5"/>
          <w:sz w:val="32"/>
          <w:szCs w:val="32"/>
        </w:rPr>
        <w:t>（一）支持农业产业园建设</w:t>
      </w:r>
      <w:r>
        <w:rPr>
          <w:rFonts w:hint="eastAsia" w:ascii="方正楷体_GBK" w:hAnsi="方正楷体_GBK" w:eastAsia="方正楷体_GBK" w:cs="方正楷体_GBK"/>
          <w:spacing w:val="5"/>
          <w:sz w:val="32"/>
          <w:szCs w:val="32"/>
          <w:lang w:eastAsia="zh-CN"/>
        </w:rPr>
        <w:t>。</w:t>
      </w:r>
      <w:r>
        <w:rPr>
          <w:spacing w:val="5"/>
          <w:sz w:val="32"/>
          <w:szCs w:val="32"/>
        </w:rPr>
        <w:t>继续支持</w:t>
      </w:r>
      <w:r>
        <w:rPr>
          <w:rFonts w:ascii="Times New Roman" w:hAnsi="Times New Roman" w:eastAsia="Times New Roman" w:cs="Times New Roman"/>
          <w:spacing w:val="5"/>
          <w:sz w:val="32"/>
          <w:szCs w:val="32"/>
        </w:rPr>
        <w:t>2022</w:t>
      </w:r>
      <w:r>
        <w:rPr>
          <w:spacing w:val="5"/>
          <w:sz w:val="32"/>
          <w:szCs w:val="32"/>
        </w:rPr>
        <w:t>年立项的省级</w:t>
      </w:r>
      <w:r>
        <w:rPr>
          <w:spacing w:val="6"/>
          <w:sz w:val="32"/>
          <w:szCs w:val="32"/>
        </w:rPr>
        <w:t>农业产业园开展规模化种养基础设施建设、公共服务</w:t>
      </w:r>
      <w:r>
        <w:rPr>
          <w:spacing w:val="5"/>
          <w:sz w:val="32"/>
          <w:szCs w:val="32"/>
        </w:rPr>
        <w:t>能力提升、</w:t>
      </w:r>
      <w:r>
        <w:rPr>
          <w:spacing w:val="8"/>
          <w:sz w:val="32"/>
          <w:szCs w:val="32"/>
        </w:rPr>
        <w:t>产业链供应链完善提升、科技协同创新平台建设、智慧农业建设、品牌化市场营销、联农带农模式构建等，推动产</w:t>
      </w:r>
      <w:r>
        <w:rPr>
          <w:spacing w:val="7"/>
          <w:sz w:val="32"/>
          <w:szCs w:val="32"/>
        </w:rPr>
        <w:t>业园高质</w:t>
      </w:r>
      <w:r>
        <w:rPr>
          <w:spacing w:val="4"/>
          <w:sz w:val="32"/>
          <w:szCs w:val="32"/>
        </w:rPr>
        <w:t>量发展。</w:t>
      </w:r>
    </w:p>
    <w:p w14:paraId="2F269BF7">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pacing w:val="8"/>
          <w:sz w:val="32"/>
          <w:szCs w:val="32"/>
        </w:rPr>
      </w:pPr>
      <w:r>
        <w:rPr>
          <w:rFonts w:ascii="方正楷体_GBK" w:hAnsi="方正楷体_GBK" w:eastAsia="方正楷体_GBK" w:cs="方正楷体_GBK"/>
          <w:spacing w:val="8"/>
          <w:sz w:val="32"/>
          <w:szCs w:val="32"/>
        </w:rPr>
        <w:t>（二）支持新产业新业态新模式发展。</w:t>
      </w:r>
      <w:r>
        <w:rPr>
          <w:spacing w:val="8"/>
          <w:sz w:val="32"/>
          <w:szCs w:val="32"/>
        </w:rPr>
        <w:t>支持各地聚焦</w:t>
      </w:r>
      <w:r>
        <w:rPr>
          <w:spacing w:val="7"/>
          <w:sz w:val="32"/>
          <w:szCs w:val="32"/>
        </w:rPr>
        <w:t>当地</w:t>
      </w:r>
      <w:r>
        <w:rPr>
          <w:spacing w:val="13"/>
          <w:sz w:val="32"/>
          <w:szCs w:val="32"/>
        </w:rPr>
        <w:t>优势特色产业，鼓励引导县级及以上农业龙头企业开</w:t>
      </w:r>
      <w:r>
        <w:rPr>
          <w:spacing w:val="12"/>
          <w:sz w:val="32"/>
          <w:szCs w:val="32"/>
        </w:rPr>
        <w:t>展农产品</w:t>
      </w:r>
      <w:r>
        <w:rPr>
          <w:spacing w:val="8"/>
          <w:sz w:val="32"/>
          <w:szCs w:val="32"/>
        </w:rPr>
        <w:t>加工转型升级，重点支持引领型、带动型农业龙头企业在精耕</w:t>
      </w:r>
      <w:r>
        <w:rPr>
          <w:spacing w:val="9"/>
          <w:sz w:val="32"/>
          <w:szCs w:val="32"/>
        </w:rPr>
        <w:t>深耕细分领域，突出以新质生产力为引领的健康食</w:t>
      </w:r>
      <w:r>
        <w:rPr>
          <w:spacing w:val="8"/>
          <w:sz w:val="32"/>
          <w:szCs w:val="32"/>
        </w:rPr>
        <w:t>品、功能食</w:t>
      </w:r>
      <w:r>
        <w:rPr>
          <w:spacing w:val="2"/>
          <w:sz w:val="32"/>
          <w:szCs w:val="32"/>
        </w:rPr>
        <w:t>品、冻干食品、未来食品、功能物提取等领域，发展高附加值、</w:t>
      </w:r>
      <w:r>
        <w:rPr>
          <w:spacing w:val="8"/>
          <w:sz w:val="32"/>
          <w:szCs w:val="32"/>
        </w:rPr>
        <w:t>深层次、全方位利用的精深加工。支持各地发展休闲农业，开</w:t>
      </w:r>
      <w:r>
        <w:rPr>
          <w:spacing w:val="9"/>
          <w:sz w:val="32"/>
          <w:szCs w:val="32"/>
        </w:rPr>
        <w:t>展</w:t>
      </w:r>
      <w:r>
        <w:rPr>
          <w:rFonts w:ascii="Times New Roman" w:hAnsi="Times New Roman" w:eastAsia="Times New Roman" w:cs="Times New Roman"/>
          <w:spacing w:val="9"/>
          <w:sz w:val="32"/>
          <w:szCs w:val="32"/>
        </w:rPr>
        <w:t>“</w:t>
      </w:r>
      <w:r>
        <w:rPr>
          <w:spacing w:val="9"/>
          <w:sz w:val="32"/>
          <w:szCs w:val="32"/>
        </w:rPr>
        <w:t>苏韵乡情</w:t>
      </w:r>
      <w:r>
        <w:rPr>
          <w:rFonts w:ascii="Times New Roman" w:hAnsi="Times New Roman" w:eastAsia="Times New Roman" w:cs="Times New Roman"/>
          <w:spacing w:val="9"/>
          <w:sz w:val="32"/>
          <w:szCs w:val="32"/>
        </w:rPr>
        <w:t>”</w:t>
      </w:r>
      <w:r>
        <w:rPr>
          <w:spacing w:val="9"/>
          <w:sz w:val="32"/>
          <w:szCs w:val="32"/>
        </w:rPr>
        <w:t>休闲农业系列宣传推介，推动绿色、</w:t>
      </w:r>
      <w:r>
        <w:rPr>
          <w:spacing w:val="8"/>
          <w:sz w:val="32"/>
          <w:szCs w:val="32"/>
        </w:rPr>
        <w:t>有机、名特</w:t>
      </w:r>
      <w:r>
        <w:rPr>
          <w:spacing w:val="13"/>
          <w:sz w:val="32"/>
          <w:szCs w:val="32"/>
        </w:rPr>
        <w:t>优新和地理标志等优质农产品发展，加强省级及以上</w:t>
      </w:r>
      <w:r>
        <w:rPr>
          <w:spacing w:val="12"/>
          <w:sz w:val="32"/>
          <w:szCs w:val="32"/>
        </w:rPr>
        <w:t>品牌目录</w:t>
      </w:r>
      <w:r>
        <w:rPr>
          <w:spacing w:val="7"/>
          <w:sz w:val="32"/>
          <w:szCs w:val="32"/>
        </w:rPr>
        <w:t>农产品区域公用品牌建设，深入实施</w:t>
      </w:r>
      <w:r>
        <w:rPr>
          <w:rFonts w:ascii="Times New Roman" w:hAnsi="Times New Roman" w:eastAsia="Times New Roman" w:cs="Times New Roman"/>
          <w:spacing w:val="7"/>
          <w:sz w:val="32"/>
          <w:szCs w:val="32"/>
        </w:rPr>
        <w:t>“</w:t>
      </w:r>
      <w:r>
        <w:rPr>
          <w:spacing w:val="7"/>
          <w:sz w:val="32"/>
          <w:szCs w:val="32"/>
        </w:rPr>
        <w:t>互联网</w:t>
      </w:r>
      <w:r>
        <w:rPr>
          <w:rFonts w:ascii="Times New Roman" w:hAnsi="Times New Roman" w:eastAsia="Times New Roman" w:cs="Times New Roman"/>
          <w:spacing w:val="7"/>
          <w:sz w:val="32"/>
          <w:szCs w:val="32"/>
        </w:rPr>
        <w:t>+”</w:t>
      </w:r>
      <w:r>
        <w:rPr>
          <w:spacing w:val="7"/>
          <w:sz w:val="32"/>
          <w:szCs w:val="32"/>
        </w:rPr>
        <w:t>农产品出村进城</w:t>
      </w:r>
      <w:r>
        <w:rPr>
          <w:spacing w:val="10"/>
          <w:sz w:val="32"/>
          <w:szCs w:val="32"/>
        </w:rPr>
        <w:t>工程，支持开展中国农民丰收节省级主场活动。支持开放型农</w:t>
      </w:r>
      <w:r>
        <w:rPr>
          <w:spacing w:val="8"/>
          <w:sz w:val="32"/>
          <w:szCs w:val="32"/>
        </w:rPr>
        <w:t>业载体平台建设和开放型农业主体培育。</w:t>
      </w:r>
    </w:p>
    <w:p w14:paraId="2906EC2D">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48" w:firstLineChars="200"/>
        <w:textAlignment w:val="baseline"/>
        <w:rPr>
          <w:rFonts w:ascii="方正黑体_GBK" w:hAnsi="方正黑体_GBK" w:eastAsia="方正黑体_GBK" w:cs="方正黑体_GBK"/>
          <w:spacing w:val="2"/>
          <w:sz w:val="32"/>
          <w:szCs w:val="32"/>
        </w:rPr>
      </w:pPr>
      <w:r>
        <w:rPr>
          <w:rFonts w:ascii="方正黑体_GBK" w:hAnsi="方正黑体_GBK" w:eastAsia="方正黑体_GBK" w:cs="方正黑体_GBK"/>
          <w:spacing w:val="2"/>
          <w:sz w:val="32"/>
          <w:szCs w:val="32"/>
        </w:rPr>
        <w:t>六、支持农业绿色发展</w:t>
      </w:r>
    </w:p>
    <w:p w14:paraId="3AEEFD07">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pacing w:val="13"/>
          <w:sz w:val="32"/>
          <w:szCs w:val="32"/>
        </w:rPr>
      </w:pPr>
      <w:r>
        <w:rPr>
          <w:rFonts w:ascii="方正楷体_GBK" w:hAnsi="方正楷体_GBK" w:eastAsia="方正楷体_GBK" w:cs="方正楷体_GBK"/>
          <w:spacing w:val="8"/>
          <w:sz w:val="32"/>
          <w:szCs w:val="32"/>
        </w:rPr>
        <w:t>（一）支持农作物秸秆综合利用</w:t>
      </w:r>
      <w:r>
        <w:rPr>
          <w:spacing w:val="8"/>
          <w:sz w:val="32"/>
          <w:szCs w:val="32"/>
        </w:rPr>
        <w:t>。</w:t>
      </w:r>
      <w:r>
        <w:rPr>
          <w:spacing w:val="13"/>
          <w:sz w:val="32"/>
          <w:szCs w:val="32"/>
        </w:rPr>
        <w:t>支持各地结合实际统筹实施秸秆机械化还田和离田收储利用，开展稻麦等秸秆机械</w:t>
      </w:r>
      <w:r>
        <w:rPr>
          <w:rFonts w:hint="eastAsia"/>
          <w:spacing w:val="13"/>
          <w:sz w:val="32"/>
          <w:szCs w:val="32"/>
          <w:lang w:eastAsia="zh-CN"/>
        </w:rPr>
        <w:t>化</w:t>
      </w:r>
      <w:r>
        <w:rPr>
          <w:spacing w:val="13"/>
          <w:sz w:val="32"/>
          <w:szCs w:val="32"/>
        </w:rPr>
        <w:t>还田作业补助和离田收储按量（或按面积）补助，鼓励因地制宜有序推进生态型犁耕深翻还田。具体按照《关于做好2025年省级农作物秸秆综合利用项目实施工作的通知》（苏农科〔2025〕5号）执行。</w:t>
      </w:r>
    </w:p>
    <w:p w14:paraId="0E22497D">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z w:val="32"/>
          <w:szCs w:val="32"/>
        </w:rPr>
      </w:pPr>
      <w:r>
        <w:rPr>
          <w:rFonts w:ascii="方正楷体_GBK" w:hAnsi="方正楷体_GBK" w:eastAsia="方正楷体_GBK" w:cs="方正楷体_GBK"/>
          <w:spacing w:val="8"/>
          <w:sz w:val="32"/>
          <w:szCs w:val="32"/>
        </w:rPr>
        <w:t>（二）支持农药化肥双减。</w:t>
      </w:r>
      <w:r>
        <w:rPr>
          <w:spacing w:val="8"/>
          <w:sz w:val="32"/>
          <w:szCs w:val="32"/>
        </w:rPr>
        <w:t>支持各地因地制宜开</w:t>
      </w:r>
      <w:r>
        <w:rPr>
          <w:spacing w:val="7"/>
          <w:sz w:val="32"/>
          <w:szCs w:val="32"/>
        </w:rPr>
        <w:t>展化肥减</w:t>
      </w:r>
      <w:r>
        <w:rPr>
          <w:spacing w:val="11"/>
          <w:sz w:val="32"/>
          <w:szCs w:val="32"/>
        </w:rPr>
        <w:t>量增效先行区、农药减量增效展示片建设，</w:t>
      </w:r>
      <w:r>
        <w:rPr>
          <w:spacing w:val="10"/>
          <w:sz w:val="32"/>
          <w:szCs w:val="32"/>
        </w:rPr>
        <w:t>鼓励引导新型经营</w:t>
      </w:r>
      <w:r>
        <w:rPr>
          <w:spacing w:val="2"/>
          <w:sz w:val="32"/>
          <w:szCs w:val="32"/>
        </w:rPr>
        <w:t>主体加强化肥减量增效新产品、新技术、新机具集成推广应用，</w:t>
      </w:r>
      <w:r>
        <w:rPr>
          <w:spacing w:val="8"/>
          <w:sz w:val="32"/>
          <w:szCs w:val="32"/>
        </w:rPr>
        <w:t>提高肥料利用效率，集成应用农业防控、理化诱控、</w:t>
      </w:r>
      <w:r>
        <w:rPr>
          <w:spacing w:val="7"/>
          <w:sz w:val="32"/>
          <w:szCs w:val="32"/>
        </w:rPr>
        <w:t>生物防控</w:t>
      </w:r>
      <w:r>
        <w:rPr>
          <w:spacing w:val="13"/>
          <w:sz w:val="32"/>
          <w:szCs w:val="32"/>
        </w:rPr>
        <w:t>和科学用药技术等绿色防控技术和产品，推进化学农药减量增</w:t>
      </w:r>
      <w:r>
        <w:rPr>
          <w:spacing w:val="5"/>
          <w:sz w:val="32"/>
          <w:szCs w:val="32"/>
        </w:rPr>
        <w:t>效。支持有关县（市、区）继续推进化肥农药实名制购买定额</w:t>
      </w:r>
      <w:r>
        <w:rPr>
          <w:spacing w:val="8"/>
          <w:sz w:val="32"/>
          <w:szCs w:val="32"/>
        </w:rPr>
        <w:t>制使用，建设一批规范化经营门店，因地制宜探索实名制购销</w:t>
      </w:r>
      <w:r>
        <w:rPr>
          <w:spacing w:val="7"/>
          <w:sz w:val="32"/>
          <w:szCs w:val="32"/>
        </w:rPr>
        <w:t>模式、制订定额制使用标准，推广应用肥药减量技术</w:t>
      </w:r>
      <w:r>
        <w:rPr>
          <w:spacing w:val="6"/>
          <w:sz w:val="32"/>
          <w:szCs w:val="32"/>
        </w:rPr>
        <w:t>模式。</w:t>
      </w:r>
    </w:p>
    <w:p w14:paraId="4345F6C0">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72" w:firstLineChars="200"/>
        <w:textAlignment w:val="baseline"/>
        <w:rPr>
          <w:spacing w:val="6"/>
          <w:sz w:val="32"/>
          <w:szCs w:val="32"/>
        </w:rPr>
      </w:pPr>
      <w:r>
        <w:rPr>
          <w:rFonts w:ascii="方正楷体_GBK" w:hAnsi="方正楷体_GBK" w:eastAsia="方正楷体_GBK" w:cs="方正楷体_GBK"/>
          <w:spacing w:val="8"/>
          <w:sz w:val="32"/>
          <w:szCs w:val="32"/>
        </w:rPr>
        <w:t>（三）支持农业废弃物处置利用。</w:t>
      </w:r>
      <w:r>
        <w:rPr>
          <w:spacing w:val="8"/>
          <w:sz w:val="32"/>
          <w:szCs w:val="32"/>
        </w:rPr>
        <w:t>支持各地</w:t>
      </w:r>
      <w:r>
        <w:rPr>
          <w:spacing w:val="7"/>
          <w:sz w:val="32"/>
          <w:szCs w:val="32"/>
        </w:rPr>
        <w:t>建立完善政府</w:t>
      </w:r>
      <w:r>
        <w:rPr>
          <w:spacing w:val="8"/>
          <w:sz w:val="32"/>
          <w:szCs w:val="32"/>
        </w:rPr>
        <w:t>支持、农药生产经营使用者参与、专业机构协同的农药和肥料</w:t>
      </w:r>
      <w:r>
        <w:rPr>
          <w:spacing w:val="12"/>
          <w:sz w:val="32"/>
          <w:szCs w:val="32"/>
        </w:rPr>
        <w:t>包装废弃物回收处理机制，完善回收处理体系</w:t>
      </w:r>
      <w:r>
        <w:rPr>
          <w:spacing w:val="11"/>
          <w:sz w:val="32"/>
          <w:szCs w:val="32"/>
        </w:rPr>
        <w:t>，加强废弃物回</w:t>
      </w:r>
      <w:r>
        <w:rPr>
          <w:spacing w:val="1"/>
          <w:sz w:val="32"/>
          <w:szCs w:val="32"/>
        </w:rPr>
        <w:t>收、储存、转运、处置再利用，促进农业绿色可持</w:t>
      </w:r>
      <w:r>
        <w:rPr>
          <w:sz w:val="32"/>
          <w:szCs w:val="32"/>
        </w:rPr>
        <w:t>续发展。支</w:t>
      </w:r>
      <w:r>
        <w:rPr>
          <w:spacing w:val="12"/>
          <w:sz w:val="32"/>
          <w:szCs w:val="32"/>
        </w:rPr>
        <w:t>持各地推动种植主体应用加厚高强度地膜和全生物降解地膜，</w:t>
      </w:r>
      <w:r>
        <w:rPr>
          <w:spacing w:val="5"/>
          <w:sz w:val="32"/>
          <w:szCs w:val="32"/>
        </w:rPr>
        <w:t>推广应用地膜减量替代</w:t>
      </w:r>
      <w:bookmarkStart w:id="0" w:name="_GoBack"/>
      <w:bookmarkEnd w:id="0"/>
      <w:r>
        <w:rPr>
          <w:spacing w:val="5"/>
          <w:sz w:val="32"/>
          <w:szCs w:val="32"/>
        </w:rPr>
        <w:t>技术，推进废旧地膜回收和无害化处置，</w:t>
      </w:r>
      <w:r>
        <w:rPr>
          <w:spacing w:val="6"/>
          <w:sz w:val="32"/>
          <w:szCs w:val="32"/>
        </w:rPr>
        <w:t>开展地膜残留监测，提升地膜科学使用回收水平。</w:t>
      </w:r>
    </w:p>
    <w:p w14:paraId="3634FE54">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8" w:firstLineChars="200"/>
        <w:textAlignment w:val="baseline"/>
        <w:rPr>
          <w:sz w:val="32"/>
          <w:szCs w:val="32"/>
        </w:rPr>
      </w:pPr>
      <w:r>
        <w:rPr>
          <w:rFonts w:ascii="方正楷体_GBK" w:hAnsi="方正楷体_GBK" w:eastAsia="方正楷体_GBK" w:cs="方正楷体_GBK"/>
          <w:spacing w:val="7"/>
          <w:sz w:val="32"/>
          <w:szCs w:val="32"/>
        </w:rPr>
        <w:t>（四）支持绿色发展监测能力建设。</w:t>
      </w:r>
      <w:r>
        <w:rPr>
          <w:spacing w:val="7"/>
          <w:sz w:val="32"/>
          <w:szCs w:val="32"/>
        </w:rPr>
        <w:t>支持太湖地区涉农县</w:t>
      </w:r>
      <w:r>
        <w:rPr>
          <w:spacing w:val="1"/>
          <w:sz w:val="32"/>
          <w:szCs w:val="32"/>
        </w:rPr>
        <w:t>（市、区）围绕种植业绿色发展情况、池塘养殖尾水、畜禽粪</w:t>
      </w:r>
      <w:r>
        <w:rPr>
          <w:spacing w:val="11"/>
          <w:sz w:val="32"/>
          <w:szCs w:val="32"/>
        </w:rPr>
        <w:t>污资源化利用等内容布设具有代表性的固定监测点，持续开</w:t>
      </w:r>
      <w:r>
        <w:rPr>
          <w:spacing w:val="10"/>
          <w:sz w:val="32"/>
          <w:szCs w:val="32"/>
        </w:rPr>
        <w:t>监测评估，定期采集监测数据，逐步构建太湖地区农业绿色发展监测体系。支持各地加强耕地质量监测，开展耕地质量等级</w:t>
      </w:r>
      <w:r>
        <w:rPr>
          <w:spacing w:val="8"/>
          <w:sz w:val="32"/>
          <w:szCs w:val="32"/>
        </w:rPr>
        <w:t>调查评价、农产品产地环境例行监测、新增耕地土壤污染状况</w:t>
      </w:r>
      <w:r>
        <w:rPr>
          <w:spacing w:val="5"/>
          <w:sz w:val="32"/>
          <w:szCs w:val="32"/>
        </w:rPr>
        <w:t>调查、农用地重点地块监测、耕地环境质量类别动态调整、受</w:t>
      </w:r>
      <w:r>
        <w:rPr>
          <w:spacing w:val="8"/>
          <w:sz w:val="32"/>
          <w:szCs w:val="32"/>
        </w:rPr>
        <w:t>污染耕地安全利用等工作。</w:t>
      </w:r>
    </w:p>
    <w:p w14:paraId="58E50FEB">
      <w:pPr>
        <w:pStyle w:val="2"/>
        <w:keepNext w:val="0"/>
        <w:keepLines w:val="0"/>
        <w:pageBreakBefore w:val="0"/>
        <w:widowControl/>
        <w:kinsoku/>
        <w:wordWrap/>
        <w:overflowPunct/>
        <w:topLinePunct w:val="0"/>
        <w:autoSpaceDE w:val="0"/>
        <w:autoSpaceDN w:val="0"/>
        <w:bidi w:val="0"/>
        <w:adjustRightInd w:val="0"/>
        <w:snapToGrid w:val="0"/>
        <w:spacing w:line="592" w:lineRule="exact"/>
        <w:ind w:left="0" w:right="0" w:firstLine="668" w:firstLineChars="200"/>
        <w:jc w:val="both"/>
        <w:textAlignment w:val="baseline"/>
        <w:rPr>
          <w:rFonts w:hint="eastAsia" w:eastAsia="方正仿宋_GBK"/>
          <w:sz w:val="32"/>
          <w:szCs w:val="32"/>
          <w:lang w:eastAsia="zh-CN"/>
        </w:rPr>
      </w:pPr>
      <w:r>
        <w:rPr>
          <w:rFonts w:ascii="方正楷体_GBK" w:hAnsi="方正楷体_GBK" w:eastAsia="方正楷体_GBK" w:cs="方正楷体_GBK"/>
          <w:spacing w:val="7"/>
          <w:sz w:val="32"/>
          <w:szCs w:val="32"/>
        </w:rPr>
        <w:t>（五）支持渔业资源养护</w:t>
      </w:r>
      <w:r>
        <w:rPr>
          <w:spacing w:val="7"/>
          <w:sz w:val="32"/>
          <w:szCs w:val="32"/>
        </w:rPr>
        <w:t>。支持水产种质资源保护区机构开展保护区巡护与生态修复，保护物种监测</w:t>
      </w:r>
      <w:r>
        <w:rPr>
          <w:spacing w:val="6"/>
          <w:sz w:val="32"/>
          <w:szCs w:val="32"/>
        </w:rPr>
        <w:t>、养护与救护，保护设施设置与维护等。支持区域性物种和珍贵濒危物种放流</w:t>
      </w:r>
      <w:r>
        <w:rPr>
          <w:rFonts w:hint="eastAsia"/>
          <w:spacing w:val="6"/>
          <w:sz w:val="32"/>
          <w:szCs w:val="32"/>
          <w:lang w:eastAsia="zh-CN"/>
        </w:rPr>
        <w:t>。</w:t>
      </w:r>
    </w:p>
    <w:sectPr>
      <w:footerReference r:id="rId5" w:type="default"/>
      <w:pgSz w:w="11906" w:h="16838"/>
      <w:pgMar w:top="1814" w:right="1531" w:bottom="1984"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D0E95">
    <w:pPr>
      <w:spacing w:line="358" w:lineRule="exact"/>
      <w:rPr>
        <w:rFonts w:ascii="Times New Roman" w:hAnsi="Times New Roman" w:eastAsia="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0233B"/>
    <w:rsid w:val="02104022"/>
    <w:rsid w:val="056326BB"/>
    <w:rsid w:val="071E0F8F"/>
    <w:rsid w:val="0C692F6D"/>
    <w:rsid w:val="12320AF7"/>
    <w:rsid w:val="12B02CB8"/>
    <w:rsid w:val="2001516D"/>
    <w:rsid w:val="25453243"/>
    <w:rsid w:val="29BD5F8E"/>
    <w:rsid w:val="29CC7F7F"/>
    <w:rsid w:val="2BE51E7D"/>
    <w:rsid w:val="2F4B1946"/>
    <w:rsid w:val="38C2659D"/>
    <w:rsid w:val="3BC92571"/>
    <w:rsid w:val="3F052CF0"/>
    <w:rsid w:val="48513967"/>
    <w:rsid w:val="4880233B"/>
    <w:rsid w:val="5385101B"/>
    <w:rsid w:val="5A330B5B"/>
    <w:rsid w:val="5CE727F2"/>
    <w:rsid w:val="692549DB"/>
    <w:rsid w:val="6AC65D4A"/>
    <w:rsid w:val="70BC0902"/>
    <w:rsid w:val="72DF5BFA"/>
    <w:rsid w:val="741E7C0F"/>
    <w:rsid w:val="779F62D9"/>
    <w:rsid w:val="782125E8"/>
    <w:rsid w:val="792F7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9130cb14-d7e7-4ba0-a18c-7321a3a69808</errorID>
      <errorWord>周年</errorWord>
      <group>L1_Word</group>
      <groupName>字词问题</groupName>
      <ability>L2_Typo</ability>
      <abilityName>字词错误</abilityName>
      <candidateList>
        <item>周边</item>
      </candidateList>
      <explain/>
      <paraID>553810D8</paraID>
      <start>63</start>
      <end>65</end>
      <status>ignored</status>
      <modifiedWord/>
      <trackRevisions>false</trackRevisions>
    </reviewItem>
    <reviewItem>
      <errorID>52560d2b-c159-4e9d-986e-3053183a717d</errorID>
      <errorWord>运转站</errorWord>
      <group>L1_Word</group>
      <groupName>字词问题</groupName>
      <ability>L2_Typo</ability>
      <abilityName>字词错误</abilityName>
      <candidateList>
        <item>转运站</item>
      </candidateList>
      <explain/>
      <paraID>6682D04F</paraID>
      <start>104</start>
      <end>107</end>
      <status>ignored</status>
      <modifiedWord/>
      <trackRevisions>false</trackRevisions>
    </reviewItem>
    <reviewItem>
      <errorID>71d2ed75-cd79-49d1-b172-0ac561dc24ee</errorID>
      <errorWord>竞争立</errorWord>
      <group>L1_Word</group>
      <groupName>字词问题</groupName>
      <ability>L2_Typo</ability>
      <abilityName>字词错误</abilityName>
      <candidateList>
        <item>竞争力</item>
      </candidateList>
      <explain/>
      <paraID>31142106</paraID>
      <start>26</start>
      <end>29</end>
      <status>ignored</status>
      <modifiedWord/>
      <trackRevisions>false</trackRevisions>
    </reviewItem>
    <reviewItem>
      <errorID>e700f364-27a0-4e6a-b5f2-54c548b1e4ea</errorID>
      <errorWord>项</errorWord>
      <group>L1_Word</group>
      <groupName>字词问题</groupName>
      <ability>L2_Typo</ability>
      <abilityName>字词错误</abilityName>
      <candidateList>
        <item>项目</item>
      </candidateList>
      <explain>〈名〉事物分成的门类：服务～｜体育～｜建设～。</explain>
      <paraID> 5313D1A</paraID>
      <start>0</start>
      <end>1</end>
      <status>ignored</status>
      <modifiedWord/>
      <trackRevisions>false</trackRevisions>
    </reviewItem>
    <reviewItem>
      <errorID>68ed0591-773b-4fd0-9ddf-21becbf08726</errorID>
      <errorWord>直</errorWord>
      <group>L1_Word</group>
      <groupName>字词问题</groupName>
      <ability>L2_Typo</ability>
      <abilityName>字词错误</abilityName>
      <candidateList>
        <item>职</item>
      </candidateList>
      <explain/>
      <paraID>3CA1DE81</paraID>
      <start>47</start>
      <end>48</end>
      <status>ignored</status>
      <modifiedWord/>
      <trackRevisions>false</trackRevisions>
    </reviewItem>
    <reviewItem>
      <errorID>f537f3d1-ab3d-4298-866f-2478a55d67b2</errorID>
      <errorWord>增扩</errorWord>
      <group>L1_Word</group>
      <groupName>字词问题</groupName>
      <ability>L2_Typo</ability>
      <abilityName>字词错误</abilityName>
      <candidateList>
        <item>增加</item>
      </candidateList>
      <explain>〈动〉在原有的基础上加多：～品种｜～抵抗力｜在校学生已由八百～到一千。</explain>
      <paraID>3CA1DE81</paraID>
      <start>221</start>
      <end>223</end>
      <status>ignored</status>
      <modifiedWord/>
      <trackRevisions>false</trackRevisions>
    </reviewItem>
    <reviewItem>
      <errorID>01fe6007-180d-417b-aaa7-d75110215b69</errorID>
      <errorWord>双减</errorWord>
      <group>L1_Political</group>
      <groupName>政治性问题</groupName>
      <ability>L2_Keyword</ability>
      <abilityName>固定表述</abilityName>
      <candidateList>
        <item>“双减”</item>
      </candidateList>
      <explain>注意检查当前固定表述标点是否使用规范。</explain>
      <paraID> E22497D</paraID>
      <start>11</start>
      <end>13</end>
      <status>ignored</status>
      <modifiedWord/>
      <trackRevisions>false</trackRevisions>
    </reviewItem>
    <reviewItem>
      <errorID>dd416929-e325-4e63-b4f8-6157921d5dde</errorID>
      <errorWord>开</errorWord>
      <group>L1_Word</group>
      <groupName>字词问题</groupName>
      <ability>L2_Typo</ability>
      <abilityName>字词错误</abilityName>
      <candidateList>
        <item>开展</item>
      </candidateList>
      <explain>〈动〉展览会开始展出：一年一度的春节花展明天～。</explain>
      <paraID>3634FE54</paraID>
      <start>89</start>
      <end>90</end>
      <status>ignored</status>
      <modifiedWord/>
      <trackRevisions>false</trackRevisions>
    </reviewItem>
  </reviewItems>
  <config/>
</contractReview>
</file>

<file path=customXml/itemProps1.xml><?xml version="1.0" encoding="utf-8"?>
<ds:datastoreItem xmlns:ds="http://schemas.openxmlformats.org/officeDocument/2006/customXml" ds:itemID="{86f6198d-60fe-4a4c-9585-d92e372352de}">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3915</Words>
  <Characters>3950</Characters>
  <Lines>0</Lines>
  <Paragraphs>0</Paragraphs>
  <TotalTime>12</TotalTime>
  <ScaleCrop>false</ScaleCrop>
  <LinksUpToDate>false</LinksUpToDate>
  <CharactersWithSpaces>3950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2025-12-26T02:03:00Z</dcterms:created>
  <dc:creator>权哥</dc:creator>
  <cp:lastModifiedBy>权哥</cp:lastModifiedBy>
  <cp:lastPrinted>2025-12-26T02:45:00Z</cp:lastPrinted>
  <dcterms:modified xsi:type="dcterms:W3CDTF">2025-12-29T06:34:12Z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EED36CB25EF7487188066AA769A4EA1A_11</vt:lpwstr>
  </property>
  <property fmtid="{D5CDD505-2E9C-101B-9397-08002B2CF9AE}" pid="4" name="KSOTemplateDocerSaveRecord">
    <vt:lpwstr>eyJoZGlkIjoiZWNhYTY1MjYzYjBhOTE3ZmIyYjhmYzcxMzdiYTQwYWIiLCJ1c2VySWQiOiIyODgwODYyMTQifQ==</vt:lpwstr>
  </property>
</Properties>
</file>