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3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稳就业保民生 促改革谋发展</w:t>
      </w:r>
    </w:p>
    <w:p w14:paraId="6A430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为全市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人社事业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高质量发展贡献滨湖力量</w:t>
      </w:r>
    </w:p>
    <w:p w14:paraId="439DB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滨湖区人力资源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社会保障局</w:t>
      </w:r>
    </w:p>
    <w:p w14:paraId="351B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p w14:paraId="6AEBF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2024年，在区委区政府的坚强领导下，我局紧扣“稳就业、保民生、谋发展、促和谐”的工作目标，聚焦重点任务，深化改革创新，</w:t>
      </w:r>
      <w:r>
        <w:rPr>
          <w:rFonts w:hint="eastAsia" w:ascii="宋体" w:hAnsi="宋体" w:eastAsia="方正仿宋_GBK" w:cs="方正仿宋_GBK"/>
          <w:sz w:val="32"/>
          <w:szCs w:val="32"/>
        </w:rPr>
        <w:t>不断在就业保障、人才招引、服务创新、纠纷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调处</w:t>
      </w:r>
      <w:r>
        <w:rPr>
          <w:rFonts w:hint="eastAsia" w:ascii="宋体" w:hAnsi="宋体" w:eastAsia="方正仿宋_GBK" w:cs="方正仿宋_GBK"/>
          <w:sz w:val="32"/>
          <w:szCs w:val="32"/>
        </w:rPr>
        <w:t>等方面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抓要事、攻难事、办实事，各项工作取得积极成效。</w:t>
      </w:r>
    </w:p>
    <w:p w14:paraId="3A1564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  <w:t>凝心聚力、攻坚克难，2024年工作顺利收官</w:t>
      </w:r>
    </w:p>
    <w:p w14:paraId="66A64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1.聚焦民生之本，就业创业出实招</w:t>
      </w:r>
      <w:r>
        <w:rPr>
          <w:rFonts w:hint="eastAsia" w:ascii="Times New Roman" w:hAnsi="Times New Roman" w:eastAsia="方正楷体_GBK" w:cs="方正楷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积极落实各项</w:t>
      </w:r>
      <w:bookmarkStart w:id="1" w:name="_GoBack"/>
      <w:bookmarkEnd w:id="1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稳就业政策，就业创业工作质量稳中向好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强化企业用工保障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开展用工监测，动态掌握重点企业用工情况、人员流动数据，制定精准招聘计划。全年共举办“春风行动”“毕业去无锡 就业到滨湖”“百企千才高校行”等各类线上线下招聘活动103场，服务区内企业2365家次，提供就业岗位5.9万个，助力1.1万余人成功就业。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优化服务站点布局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聚焦高校毕业生、农民工、困难群众等重点群体，着力完善覆盖全民、贯穿全程、辐射全域和便捷高效的全方位公共就业服务体系，新增“家门口”就业服务站14个和“骑聚e堂”“九站一心”“荣E就”等一批特色服务载体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打造创业服务品牌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落实各级创业政策，全年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支持成功自主创业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人，完成创业贷款资格认定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1679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人，发放一次性创业补贴74.4万元。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持续发力“0成本”创业活动，谋划推出“0成本”创业专栏，为人才创新创业保驾护航。举办第六届“智汇滨湖”全民创业大赛，吸引92个项目报名参赛，发挥创业带动就业倍增效应。</w:t>
      </w:r>
    </w:p>
    <w:p w14:paraId="77ACC4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2.聚焦群众福祉，社会保障有所为</w:t>
      </w:r>
      <w:r>
        <w:rPr>
          <w:rFonts w:hint="eastAsia" w:ascii="Times New Roman" w:hAnsi="Times New Roman" w:eastAsia="方正楷体_GBK" w:cs="方正楷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集中精力抓好社会保障体系建设，年末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全区企业职工养老保险在职参保25.67万人，城乡居民养老保险参保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00人。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保障延退政策实施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分批开展延迟退休政策专题培训，覆盖一线工作人员近900人、企事业单位500余家。“线上+线下”同步开展政策宣传解读和咨询服务，累计提供相关咨询超3000人次。强化人社、公安、信访、宣传等多部门协同联动，密切关注重点群体关联性诉求和动向，及时发现掌握潜在舆情风险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提升工伤工作质效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，开展工伤预防宣传教育和风险排查工作，通过窗口咨询、线上解答、政策宣讲等方式，有效提升企业、职工工伤预防意识。</w:t>
      </w:r>
      <w:r>
        <w:rPr>
          <w:rFonts w:hint="eastAsia" w:ascii="Times New Roman" w:hAnsi="Times New Roman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建立人社、公安联席会议制度，会商交通事故类工伤认定、争议调处工作，确保工伤认定准确率。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全年共受理工伤认定案件1948件，工伤康复目标完成率为236.7%。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做好退管暖心服务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做好全区14万名企业退休人员的社会化管理和服务工作，全年累计慰问困难职工1.33万人，发放慰问金268.59万元。持续打造“夕阳美 退管情”活动品牌，举办无锡市首届嘉年华（滨湖专场）活动，通过多样的文娱活动，丰富退休人员精神生活。</w:t>
      </w:r>
    </w:p>
    <w:p w14:paraId="33F2A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3.聚焦发展所需，人才招引续新篇。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统筹推进各类人才队伍建设，全年引进高层次人才1702人、大学生11855人，新增高技能人才3830人。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擦亮品牌引才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成功举办“滨纷多才·青睐湖湾”2024青年人才周暨“青见滨湖”研学活动，邀请16所高校的103名学子齐聚滨湖。开展陕川渝、粤港澳大湾区、东北“百企千才”高校行等大学生招引活动，滨湖区揽才直通车累计赴10省22个城市52所高校举办校园招聘72场，收到简历4.7万份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完善机制育才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举办“匠聚滨湖”2024年滨湖区第五届职业技能大赛，选拔发掘高技能人才。组织“滨湖之光”技术能手项目评审，新增无锡市卓越技师5人，无锡市技能大师工作室2家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。全年发放高技能人才补贴133.37万元，7人入选2024年江苏省高技能人才重点项目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优化服务留才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高效落实人才政策，缩短补贴兑付时限，2024年累计发放各类人才扶持资金8673万元。升级服务平台，集人才分类认定、安居保障及补贴申领等特色服务于一体，全年完成人才分类认定242人。加强博士后工作站建设，4家滨湖单位入选新设省博士后创新实践基地名单。全年新增进站博士后人才41人，入选省“卓博计划”12人。</w:t>
      </w:r>
    </w:p>
    <w:p w14:paraId="517A6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4.聚焦综合治理，劳动关系保平稳。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充分发挥人社部门职能，全年立案处理劳动争议1427件，调处各平台农民工欠薪案件3692件。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加强部门联动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出台《滨湖区建设领域农民工欠薪应急周转金管理办法》，设立区镇两级应急周转金，重点保障农民工困难群体工资支付。统筹部门力量，高效处置各类欠薪矛盾，严格落实“月结月清”工作要求，督促在建工程项目依法履行工资支付责任，并于12月中旬开始运行清欠办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注重源头防控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举办劳动保障法律法规宣讲、培训等活动，督促企业规范用工行为，强化窗口咨询服务，引导劳动者理性维权。建立群体性纠纷调处情况定期通报制度，强化区、镇（开发区、街道）信息互通、协同配合，妥善处置群体性纠纷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聚力多元调处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持续加强基层调解组织建设，成功建立镇（街道）调解中心7个、重点行业领域规模以上企业调解委员会41个。依托各类调解组织，推动用人单位建立争议协商和解机制，指导当事人在平等协商、互谅互让的基础上达成共识、避免争议。</w:t>
      </w:r>
    </w:p>
    <w:p w14:paraId="7618B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  <w:t xml:space="preserve">二、乘风破浪、精准发力，2025年工作扬帆起航 </w:t>
      </w:r>
    </w:p>
    <w:p w14:paraId="560700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2025年是“十四五”规划建设的收官之年，我局将继续贯彻落实党的二十大、二十届历次全会精神，坚持“民生为本、人才优先”的工作主线，全力提速推进各项工作，用实际行动书写滨湖人社事业高质量发展精彩答卷。</w:t>
      </w:r>
    </w:p>
    <w:p w14:paraId="4DB4A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1.</w:t>
      </w:r>
      <w:bookmarkStart w:id="0" w:name="OLE_LINK10"/>
      <w:r>
        <w:rPr>
          <w:rFonts w:hint="eastAsia" w:ascii="Times New Roman" w:hAnsi="Times New Roman" w:eastAsia="方正楷体_GBK"/>
          <w:color w:val="000000"/>
          <w:sz w:val="32"/>
          <w:szCs w:val="32"/>
        </w:rPr>
        <w:t>推动就业创业更高质量更加</w:t>
      </w:r>
      <w:r>
        <w:rPr>
          <w:rFonts w:hint="eastAsia" w:ascii="Times New Roman" w:hAnsi="Times New Roman" w:eastAsia="方正楷体_GBK"/>
          <w:color w:val="000000"/>
          <w:sz w:val="32"/>
          <w:szCs w:val="32"/>
          <w:lang w:val="en-US" w:eastAsia="zh-CN"/>
        </w:rPr>
        <w:t>充分</w:t>
      </w:r>
      <w:r>
        <w:rPr>
          <w:rFonts w:ascii="Times New Roman" w:hAnsi="Times New Roman" w:eastAsia="方正楷体_GBK"/>
          <w:color w:val="000000"/>
          <w:sz w:val="32"/>
          <w:szCs w:val="32"/>
        </w:rPr>
        <w:t>。</w:t>
      </w:r>
      <w:bookmarkEnd w:id="0"/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推进“一站式”公共就业服务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持续打造“1+7+N”基层就创服务平台，力求街道公共就业服务中心全覆盖，助力实现“家门口”就业。创新智能化就业服务新模式，开发滨湖区就业信息系统，注重收集、分析企业用工、岗位需求等数据，为促进就业提供数据支撑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推进“一盘棋”重点群体帮扶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聚焦高校毕业生群体就业，深入实施大学生体验式见习计划，开发高质量就业见习岗位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  <w:t>，促进高校毕业生与用人单位的有效对接。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聚焦就业困难人员就业，深入实施“3610”行动，联合残联、退役军人事务局等部门举办重点群体专场招聘会等公共就业活动，全力帮扶就业困难人员再就业。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推进“一链条”创业带动就业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，持续推广“0成本”创业，助推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创业孵化基地建设，努力争创省级牌子，打造创业带动就业滨湖样板。</w:t>
      </w:r>
    </w:p>
    <w:p w14:paraId="718AE4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2.推动社会保障更显公平更可持续。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平稳推进延迟退休政策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，梳理核实2025年退休人员信息，提前做好分析研判；重点关注退捕渔民、被征地人员等特殊群体，跟踪做好政策解释和心理疏导工作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全面深化工伤预防宣传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，通过举办讲座、上门走访等形式，将工伤政策及预防知识传递至一线，增强企业和职工安全生产意识，从源头预防各类工伤事故发生。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持续丰富退休人员生活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做好企业退休人员精细化管理，开展滨湖区第十届“夕阳美、退管情”主题活动，展示辖区内退休人员热爱生活、积极乐观的精神风貌。</w:t>
      </w:r>
    </w:p>
    <w:p w14:paraId="02F683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楷体_GBK"/>
          <w:color w:val="000000"/>
          <w:sz w:val="32"/>
          <w:szCs w:val="32"/>
        </w:rPr>
        <w:t>推动人才聚集更</w:t>
      </w:r>
      <w:r>
        <w:rPr>
          <w:rFonts w:hint="eastAsia" w:ascii="Times New Roman" w:hAnsi="Times New Roman" w:eastAsia="方正楷体_GBK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楷体_GBK"/>
          <w:color w:val="000000"/>
          <w:sz w:val="32"/>
          <w:szCs w:val="32"/>
        </w:rPr>
        <w:t>积极更</w:t>
      </w:r>
      <w:r>
        <w:rPr>
          <w:rFonts w:hint="eastAsia" w:ascii="Times New Roman" w:hAnsi="Times New Roman" w:eastAsia="方正楷体_GBK"/>
          <w:color w:val="000000"/>
          <w:sz w:val="32"/>
          <w:szCs w:val="32"/>
          <w:lang w:val="en-US" w:eastAsia="zh-CN"/>
        </w:rPr>
        <w:t>有效率</w:t>
      </w:r>
      <w:r>
        <w:rPr>
          <w:rFonts w:hint="eastAsia" w:ascii="Times New Roman" w:hAnsi="Times New Roman" w:eastAsia="方正楷体_GBK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抓品牌为企引才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持续开展“百企千才高校行”“智汇滨湖·就在湖湾”等各类招聘活动，为企业解决引才难问题。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擦亮“滨纷多才”品牌，定向邀约高校学子实境探访滨湖区重点企业，提升滨湖吸引力。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抓服务优化生态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做大“无锡滨湖就业在线”抖音号，发挥直播的流量效应，扩大滨湖影响力。做好“青睐湖湾”青年人才交流活动，邀请国内外优秀毕业生来滨湖参观、实习、见习。做优“揽青合伙人”项目，广泛建立校企合作渠道，以点带面充实人才“蓄水池”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抓技能为企育才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，与相关院校对接，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开发“高精准”和“急紧缺”职业技能培训项目，以需求引导培训，缩短企业用人磨合期，实现在“家门口”就业。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抓要素聚才创富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挖潜滨湖科创资源禀赋，在“专精特新”、上市后备等高新技术企业进一步建设博士后工作站点。组织博士后设站单位与省内外高校的交流活动，搭建直接对话平台，促进资源有效共享。</w:t>
      </w:r>
    </w:p>
    <w:p w14:paraId="2E0310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方正楷体_GBK"/>
          <w:sz w:val="32"/>
          <w:szCs w:val="32"/>
        </w:rPr>
        <w:t>推动劳动关系更重法治更</w:t>
      </w:r>
      <w:r>
        <w:rPr>
          <w:rFonts w:hint="eastAsia" w:ascii="Times New Roman" w:hAnsi="Times New Roman" w:eastAsia="方正楷体_GBK"/>
          <w:sz w:val="32"/>
          <w:szCs w:val="32"/>
          <w:lang w:val="en-US" w:eastAsia="zh-CN"/>
        </w:rPr>
        <w:t>趋</w:t>
      </w:r>
      <w:r>
        <w:rPr>
          <w:rFonts w:hint="eastAsia" w:ascii="Times New Roman" w:hAnsi="Times New Roman" w:eastAsia="方正楷体_GBK"/>
          <w:sz w:val="32"/>
          <w:szCs w:val="32"/>
        </w:rPr>
        <w:t>和谐</w:t>
      </w:r>
      <w:r>
        <w:rPr>
          <w:rFonts w:hint="eastAsia" w:ascii="Times New Roman" w:hAnsi="Times New Roman" w:eastAsia="方正楷体_GBK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强化动态监测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按照省市统一部署，建立工作专班，定期组织自查摸排，跟踪重大欠薪工程项目处置情况，推进根治欠薪工作走深走实。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强化纠纷处置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以农民工欠薪应急周转金垫付制度为抓手，健全与信访、政法、住建、公安等部门以及各镇（开发区、街道）的重大欠薪案件联络和信息共享机制，定期组织专项协调会议，融合多方力量切实化解欠薪矛盾。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强化基层调解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持续推进基层调解组织专业化建设，尽力将劳动纠纷化解在基层，确保劳动关系平稳可控。</w:t>
      </w:r>
    </w:p>
    <w:sectPr>
      <w:footerReference r:id="rId3" w:type="default"/>
      <w:pgSz w:w="11906" w:h="16838"/>
      <w:pgMar w:top="1928" w:right="1474" w:bottom="175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7F99E7D-2995-4F2B-A29F-084AFECA9C00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0A9AF8D-4F33-41B1-AC16-717884F39CE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9FF1CC3-3DE7-4E0E-9404-D0826672153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00316EB-12AB-418C-99A5-741C3BDAFB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78B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4370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4370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OTRlYjA2MzE5OTFkNWRlYzc5ODA0MzU4ZTZjMWIifQ=="/>
  </w:docVars>
  <w:rsids>
    <w:rsidRoot w:val="038C0646"/>
    <w:rsid w:val="00A038D5"/>
    <w:rsid w:val="011F1764"/>
    <w:rsid w:val="0183453D"/>
    <w:rsid w:val="02217FDE"/>
    <w:rsid w:val="02C24BF1"/>
    <w:rsid w:val="02D768EE"/>
    <w:rsid w:val="037B196F"/>
    <w:rsid w:val="038C0646"/>
    <w:rsid w:val="03A82039"/>
    <w:rsid w:val="040354C1"/>
    <w:rsid w:val="05790131"/>
    <w:rsid w:val="05CC3119"/>
    <w:rsid w:val="06927957"/>
    <w:rsid w:val="06D575E9"/>
    <w:rsid w:val="07630750"/>
    <w:rsid w:val="07AF7E3A"/>
    <w:rsid w:val="08387E2F"/>
    <w:rsid w:val="08A41020"/>
    <w:rsid w:val="0A792273"/>
    <w:rsid w:val="0B057D70"/>
    <w:rsid w:val="0E3F3599"/>
    <w:rsid w:val="0EA77ABC"/>
    <w:rsid w:val="10260EB5"/>
    <w:rsid w:val="10B66513"/>
    <w:rsid w:val="11B85B3D"/>
    <w:rsid w:val="12152F8F"/>
    <w:rsid w:val="12802AFE"/>
    <w:rsid w:val="135B5860"/>
    <w:rsid w:val="139D148E"/>
    <w:rsid w:val="13C746E2"/>
    <w:rsid w:val="168229B3"/>
    <w:rsid w:val="168406E3"/>
    <w:rsid w:val="1887573F"/>
    <w:rsid w:val="18DA2DF6"/>
    <w:rsid w:val="1C224C26"/>
    <w:rsid w:val="1D09129C"/>
    <w:rsid w:val="20745886"/>
    <w:rsid w:val="21B04A82"/>
    <w:rsid w:val="223B07F0"/>
    <w:rsid w:val="22592A24"/>
    <w:rsid w:val="22816B17"/>
    <w:rsid w:val="228850B7"/>
    <w:rsid w:val="234E4553"/>
    <w:rsid w:val="239A6DEA"/>
    <w:rsid w:val="23E7405F"/>
    <w:rsid w:val="246102B6"/>
    <w:rsid w:val="249E0BC2"/>
    <w:rsid w:val="28DF7DF7"/>
    <w:rsid w:val="29053906"/>
    <w:rsid w:val="29AC5B2F"/>
    <w:rsid w:val="2A1262DA"/>
    <w:rsid w:val="2A461AE0"/>
    <w:rsid w:val="2AA9206F"/>
    <w:rsid w:val="2B45623B"/>
    <w:rsid w:val="2B746B21"/>
    <w:rsid w:val="2BB533C1"/>
    <w:rsid w:val="2D300825"/>
    <w:rsid w:val="2D624A33"/>
    <w:rsid w:val="2E9D013C"/>
    <w:rsid w:val="2F4A3E20"/>
    <w:rsid w:val="311961A0"/>
    <w:rsid w:val="31745184"/>
    <w:rsid w:val="31864EB8"/>
    <w:rsid w:val="31DE6AA2"/>
    <w:rsid w:val="333A69D2"/>
    <w:rsid w:val="36CC5A63"/>
    <w:rsid w:val="37B07132"/>
    <w:rsid w:val="38011E38"/>
    <w:rsid w:val="39873EC3"/>
    <w:rsid w:val="39CB2002"/>
    <w:rsid w:val="3A3F02FA"/>
    <w:rsid w:val="3B950B19"/>
    <w:rsid w:val="3C7E15AD"/>
    <w:rsid w:val="3D271C45"/>
    <w:rsid w:val="3DDA6CB7"/>
    <w:rsid w:val="3E907376"/>
    <w:rsid w:val="3FF31D7F"/>
    <w:rsid w:val="40436D96"/>
    <w:rsid w:val="404639EB"/>
    <w:rsid w:val="40D75730"/>
    <w:rsid w:val="412A0797"/>
    <w:rsid w:val="41AA69A0"/>
    <w:rsid w:val="41CC2DBB"/>
    <w:rsid w:val="424C5CAA"/>
    <w:rsid w:val="42804718"/>
    <w:rsid w:val="43236D1A"/>
    <w:rsid w:val="43B458B4"/>
    <w:rsid w:val="43DD12AF"/>
    <w:rsid w:val="4508235C"/>
    <w:rsid w:val="46181690"/>
    <w:rsid w:val="462705C0"/>
    <w:rsid w:val="46357180"/>
    <w:rsid w:val="46717A8D"/>
    <w:rsid w:val="46A2058E"/>
    <w:rsid w:val="474D4056"/>
    <w:rsid w:val="47737835"/>
    <w:rsid w:val="47ED3A8B"/>
    <w:rsid w:val="49301E81"/>
    <w:rsid w:val="4956665D"/>
    <w:rsid w:val="49806C62"/>
    <w:rsid w:val="4A037596"/>
    <w:rsid w:val="4A7364C9"/>
    <w:rsid w:val="4AEB2504"/>
    <w:rsid w:val="4B842010"/>
    <w:rsid w:val="4E01695C"/>
    <w:rsid w:val="4EB15812"/>
    <w:rsid w:val="4EEC23A6"/>
    <w:rsid w:val="4F2935FA"/>
    <w:rsid w:val="4F9E06E6"/>
    <w:rsid w:val="5079410E"/>
    <w:rsid w:val="50AC747D"/>
    <w:rsid w:val="51A11B6E"/>
    <w:rsid w:val="51E64067"/>
    <w:rsid w:val="52B6473A"/>
    <w:rsid w:val="52D63A99"/>
    <w:rsid w:val="52E33AC0"/>
    <w:rsid w:val="53DF24DA"/>
    <w:rsid w:val="543547EF"/>
    <w:rsid w:val="544D7D8B"/>
    <w:rsid w:val="54570B70"/>
    <w:rsid w:val="54FC355F"/>
    <w:rsid w:val="55BA1450"/>
    <w:rsid w:val="55F84700"/>
    <w:rsid w:val="561A5A4B"/>
    <w:rsid w:val="569F0E21"/>
    <w:rsid w:val="57925AB5"/>
    <w:rsid w:val="57EE53E1"/>
    <w:rsid w:val="582708F3"/>
    <w:rsid w:val="582E1C82"/>
    <w:rsid w:val="586236D9"/>
    <w:rsid w:val="590649AC"/>
    <w:rsid w:val="59103135"/>
    <w:rsid w:val="5959584F"/>
    <w:rsid w:val="596C36D5"/>
    <w:rsid w:val="5AC73CC7"/>
    <w:rsid w:val="5B0F6FF4"/>
    <w:rsid w:val="5B465534"/>
    <w:rsid w:val="5B4D0671"/>
    <w:rsid w:val="5CDF79EE"/>
    <w:rsid w:val="5F9009BA"/>
    <w:rsid w:val="602C4CF9"/>
    <w:rsid w:val="60477D84"/>
    <w:rsid w:val="60791F08"/>
    <w:rsid w:val="61630BEE"/>
    <w:rsid w:val="61B431F8"/>
    <w:rsid w:val="62CA25A7"/>
    <w:rsid w:val="63AE011A"/>
    <w:rsid w:val="657F6514"/>
    <w:rsid w:val="65AE4402"/>
    <w:rsid w:val="666B7416"/>
    <w:rsid w:val="673B1CC5"/>
    <w:rsid w:val="673E3F19"/>
    <w:rsid w:val="67753429"/>
    <w:rsid w:val="681C38A5"/>
    <w:rsid w:val="695A2772"/>
    <w:rsid w:val="69821E2D"/>
    <w:rsid w:val="69B0699A"/>
    <w:rsid w:val="6A7259FE"/>
    <w:rsid w:val="6BA240C1"/>
    <w:rsid w:val="6CE83E55"/>
    <w:rsid w:val="6D194857"/>
    <w:rsid w:val="6DD20069"/>
    <w:rsid w:val="6E906D9A"/>
    <w:rsid w:val="6F094457"/>
    <w:rsid w:val="6F315FCF"/>
    <w:rsid w:val="6FD66A2F"/>
    <w:rsid w:val="700E441B"/>
    <w:rsid w:val="703D6AAE"/>
    <w:rsid w:val="706C7393"/>
    <w:rsid w:val="70EB650A"/>
    <w:rsid w:val="70F133F4"/>
    <w:rsid w:val="70FA499F"/>
    <w:rsid w:val="714125CE"/>
    <w:rsid w:val="716D0B65"/>
    <w:rsid w:val="72707DAC"/>
    <w:rsid w:val="72FF44EF"/>
    <w:rsid w:val="73D61A12"/>
    <w:rsid w:val="7491561A"/>
    <w:rsid w:val="74B03CF2"/>
    <w:rsid w:val="74E92D60"/>
    <w:rsid w:val="75111CD8"/>
    <w:rsid w:val="7521074C"/>
    <w:rsid w:val="760D6F22"/>
    <w:rsid w:val="763C5112"/>
    <w:rsid w:val="77D575CC"/>
    <w:rsid w:val="781E1BEC"/>
    <w:rsid w:val="787646B0"/>
    <w:rsid w:val="789456D9"/>
    <w:rsid w:val="78EA354B"/>
    <w:rsid w:val="79845A91"/>
    <w:rsid w:val="7A0643B5"/>
    <w:rsid w:val="7B2528B4"/>
    <w:rsid w:val="7C256A18"/>
    <w:rsid w:val="7C2E14B2"/>
    <w:rsid w:val="7EA63A70"/>
    <w:rsid w:val="7ED4682F"/>
    <w:rsid w:val="7F1C3D32"/>
    <w:rsid w:val="7F272E03"/>
    <w:rsid w:val="7FB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3137</Words>
  <Characters>3269</Characters>
  <Lines>0</Lines>
  <Paragraphs>0</Paragraphs>
  <TotalTime>0</TotalTime>
  <ScaleCrop>false</ScaleCrop>
  <LinksUpToDate>false</LinksUpToDate>
  <CharactersWithSpaces>3273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2024-10-15T01:47:00Z</dcterms:created>
  <dc:creator>百分百</dc:creator>
  <cp:lastModifiedBy>百分百</cp:lastModifiedBy>
  <cp:lastPrinted>2025-02-10T08:57:00Z</cp:lastPrinted>
  <dcterms:modified xsi:type="dcterms:W3CDTF">2025-07-23T03:10:53Z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1D2D63EBE87A4180A69AB077F70FA25B_13</vt:lpwstr>
  </property>
  <property fmtid="{D5CDD505-2E9C-101B-9397-08002B2CF9AE}" pid="4" name="KSOTemplateDocerSaveRecord">
    <vt:lpwstr>eyJoZGlkIjoiMjA1OTRlYjA2MzE5OTFkNWRlYzc5ODA0MzU4ZTZjMWIiLCJ1c2VySWQiOiI2OTQ3OTY2NTIifQ==</vt:lpwstr>
  </property>
</Properties>
</file>