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13966">
      <w:pPr>
        <w:jc w:val="center"/>
        <w:rPr>
          <w:rFonts w:hint="eastAsia" w:ascii="方正小标宋_GBK" w:hAnsi="方正楷体_GBK" w:eastAsia="方正小标宋_GBK" w:cs="方正楷体_GBK"/>
          <w:sz w:val="44"/>
          <w:szCs w:val="44"/>
        </w:rPr>
      </w:pPr>
      <w:bookmarkStart w:id="0" w:name="_GoBack"/>
      <w:r>
        <w:rPr>
          <w:rFonts w:hint="eastAsia" w:ascii="方正小标宋_GBK" w:hAnsi="方正楷体_GBK" w:eastAsia="方正小标宋_GBK" w:cs="方正楷体_GBK"/>
          <w:sz w:val="44"/>
          <w:szCs w:val="44"/>
        </w:rPr>
        <w:t>滨湖区审计局202</w:t>
      </w:r>
      <w:r>
        <w:rPr>
          <w:rFonts w:hint="eastAsia" w:ascii="方正小标宋_GBK" w:hAnsi="方正楷体_GBK" w:eastAsia="方正小标宋_GBK" w:cs="方正楷体_GBK"/>
          <w:sz w:val="44"/>
          <w:szCs w:val="44"/>
          <w:lang w:val="en-US" w:eastAsia="zh-CN"/>
        </w:rPr>
        <w:t>5</w:t>
      </w:r>
      <w:r>
        <w:rPr>
          <w:rFonts w:hint="eastAsia" w:ascii="方正小标宋_GBK" w:hAnsi="方正楷体_GBK" w:eastAsia="方正小标宋_GBK" w:cs="方正楷体_GBK"/>
          <w:sz w:val="44"/>
          <w:szCs w:val="44"/>
        </w:rPr>
        <w:t>年重点工作</w:t>
      </w:r>
    </w:p>
    <w:bookmarkEnd w:id="0"/>
    <w:p w14:paraId="4B026E0C">
      <w:pPr>
        <w:rPr>
          <w:rFonts w:hint="eastAsia" w:ascii="仿宋_GB2312" w:hAnsi="方正楷体_GBK" w:eastAsia="仿宋_GB2312" w:cs="方正楷体_GBK"/>
          <w:sz w:val="32"/>
          <w:szCs w:val="32"/>
        </w:rPr>
      </w:pPr>
      <w:r>
        <w:rPr>
          <w:rFonts w:hint="eastAsia" w:ascii="仿宋_GB2312" w:hAnsi="方正楷体_GBK" w:eastAsia="仿宋_GB2312" w:cs="方正楷体_GBK"/>
          <w:sz w:val="32"/>
          <w:szCs w:val="32"/>
        </w:rPr>
        <w:t xml:space="preserve">    </w:t>
      </w:r>
    </w:p>
    <w:p w14:paraId="50CDAF1C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方正楷体_GBK" w:eastAsia="仿宋_GB2312" w:cs="方正楷体_GBK"/>
          <w:sz w:val="32"/>
          <w:szCs w:val="32"/>
        </w:rPr>
        <w:t xml:space="preserve">    围绕上级审计重点，扎实推进专项审计。围绕财政政策提质增效，进行预算执行审计。围绕资金使用绩效，开展专项资金审计。围绕推动权力规范运行，强化经济责任审计。围绕促进国企规范经营，深化全区国企审计。围绕政府投资工程项目，加强投资资金审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566"/>
    <w:rsid w:val="00127566"/>
    <w:rsid w:val="00A26B22"/>
    <w:rsid w:val="00C60010"/>
    <w:rsid w:val="00E44BDF"/>
    <w:rsid w:val="52EE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135</Words>
  <Characters>138</Characters>
  <Lines>1</Lines>
  <Paragraphs>1</Paragraphs>
  <TotalTime>2</TotalTime>
  <ScaleCrop>false</ScaleCrop>
  <LinksUpToDate>false</LinksUpToDate>
  <CharactersWithSpaces>146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2022-03-10T05:49:00Z</dcterms:created>
  <dc:creator>user</dc:creator>
  <cp:lastModifiedBy>…</cp:lastModifiedBy>
  <dcterms:modified xsi:type="dcterms:W3CDTF">2025-04-30T07:13:01Z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eyJoZGlkIjoiYmQwZTkwZGQ3MGVmYzBjZjZkMzNiZmE5NjBjNmUxYzAiLCJ1c2VySWQiOiI1Njg2MTAzMjgifQ==</vt:lpwstr>
  </property>
  <property fmtid="{D5CDD505-2E9C-101B-9397-08002B2CF9AE}" pid="3" name="KSOProductBuildVer">
    <vt:lpwstr>2052-12.1.0.20784</vt:lpwstr>
  </property>
  <property fmtid="{D5CDD505-2E9C-101B-9397-08002B2CF9AE}" pid="4" name="ICV">
    <vt:lpwstr>750AE9374D6449119EADB44310805927_13</vt:lpwstr>
  </property>
</Properties>
</file>