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5AAC2D">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jc w:val="both"/>
        <w:textAlignment w:val="auto"/>
        <w:rPr>
          <w:rFonts w:hint="eastAsia" w:ascii="宋体" w:hAnsi="宋体" w:eastAsia="方正楷体_GBK"/>
          <w:sz w:val="32"/>
          <w:szCs w:val="32"/>
          <w:lang w:val="en-US" w:eastAsia="zh-CN"/>
        </w:rPr>
      </w:pPr>
      <w:r>
        <w:rPr>
          <w:rFonts w:hint="eastAsia" w:ascii="宋体" w:hAnsi="宋体" w:eastAsia="方正楷体_GBK" w:cstheme="minorBidi"/>
          <w:kern w:val="2"/>
          <w:sz w:val="32"/>
          <w:szCs w:val="32"/>
          <w:lang w:val="en-US" w:eastAsia="zh-CN" w:bidi="ar-SA"/>
        </w:rPr>
        <w:t>（一）</w:t>
      </w:r>
      <w:r>
        <w:rPr>
          <w:rFonts w:hint="eastAsia" w:ascii="宋体" w:hAnsi="宋体" w:eastAsia="方正楷体_GBK"/>
          <w:sz w:val="32"/>
          <w:szCs w:val="32"/>
          <w:lang w:val="en-US" w:eastAsia="zh-CN"/>
        </w:rPr>
        <w:t>念好“强”字诀，数字滨湖建设持续提速</w:t>
      </w:r>
    </w:p>
    <w:p w14:paraId="3B5B559F">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3" w:firstLineChars="200"/>
        <w:jc w:val="both"/>
        <w:textAlignment w:val="auto"/>
        <w:rPr>
          <w:rFonts w:hint="default" w:ascii="宋体" w:hAnsi="宋体" w:eastAsia="方正仿宋_GB2312" w:cs="方正仿宋_GB2312"/>
          <w:b w:val="0"/>
          <w:bCs w:val="0"/>
          <w:sz w:val="32"/>
          <w:szCs w:val="32"/>
          <w:lang w:val="en-US" w:eastAsia="zh-CN"/>
        </w:rPr>
      </w:pPr>
      <w:r>
        <w:rPr>
          <w:rFonts w:hint="eastAsia" w:ascii="宋体" w:hAnsi="宋体" w:eastAsia="方正仿宋_GB2312" w:cs="方正仿宋_GB2312"/>
          <w:b/>
          <w:bCs/>
          <w:sz w:val="32"/>
          <w:szCs w:val="32"/>
          <w:lang w:val="en-US" w:eastAsia="zh-CN"/>
        </w:rPr>
        <w:t>1.高效率完成机构改革。</w:t>
      </w:r>
      <w:r>
        <w:rPr>
          <w:rFonts w:hint="eastAsia" w:ascii="宋体" w:hAnsi="宋体" w:eastAsia="方正仿宋_GB2312" w:cs="方正仿宋_GB2312"/>
          <w:b w:val="0"/>
          <w:bCs w:val="0"/>
          <w:sz w:val="32"/>
          <w:szCs w:val="32"/>
          <w:lang w:val="en-US" w:eastAsia="zh-CN"/>
        </w:rPr>
        <w:t>今年以来，新一轮机构改革逐步在省级层面落地，5月根据市委批复同意的《滨湖区机构改革方案》，区大数据管理局、区行政审批局（区政务服务管理办公室）职责整体划入区数据局，加挂区政务服务管理办公室牌子。经过一个多月努力，我区率先完成了区数据局的机构重组和人员转隶，</w:t>
      </w:r>
      <w:r>
        <w:rPr>
          <w:rFonts w:hint="eastAsia" w:ascii="宋体" w:hAnsi="宋体" w:eastAsia="方正仿宋_GB2312" w:cs="方正仿宋_GB2312"/>
          <w:color w:val="auto"/>
          <w:sz w:val="32"/>
          <w:szCs w:val="32"/>
          <w:lang w:val="en-US" w:eastAsia="zh-CN"/>
        </w:rPr>
        <w:t>数据条线的“1+3+1”（即一局区数据局，三中心区交易中心、城运中心、行政服务中心和一个国资公司）的工作格局正式形成，为进一步发挥数据工作在促进经济发展，优化营商环境，提高社会治理水平，提升公共服务等方面的作用打下了坚实基础。</w:t>
      </w:r>
    </w:p>
    <w:p w14:paraId="1FE91B3A">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3" w:firstLineChars="200"/>
        <w:jc w:val="both"/>
        <w:textAlignment w:val="auto"/>
        <w:rPr>
          <w:rFonts w:hint="eastAsia" w:ascii="宋体" w:hAnsi="宋体" w:eastAsia="方正仿宋_GB2312" w:cs="方正仿宋_GB2312"/>
          <w:b w:val="0"/>
          <w:bCs w:val="0"/>
          <w:sz w:val="32"/>
          <w:szCs w:val="32"/>
          <w:lang w:val="en-US" w:eastAsia="zh-CN"/>
        </w:rPr>
      </w:pPr>
      <w:r>
        <w:rPr>
          <w:rFonts w:hint="eastAsia" w:ascii="宋体" w:hAnsi="宋体" w:eastAsia="方正仿宋_GB2312" w:cs="方正仿宋_GB2312"/>
          <w:b/>
          <w:bCs/>
          <w:sz w:val="32"/>
          <w:szCs w:val="32"/>
          <w:lang w:val="en-US" w:eastAsia="zh-CN"/>
        </w:rPr>
        <w:t>2.高起点规划顶层设计。</w:t>
      </w:r>
      <w:r>
        <w:rPr>
          <w:rFonts w:hint="eastAsia" w:ascii="宋体" w:hAnsi="宋体" w:eastAsia="方正仿宋_GB2312" w:cs="方正仿宋_GB2312"/>
          <w:b w:val="0"/>
          <w:bCs w:val="0"/>
          <w:sz w:val="32"/>
          <w:szCs w:val="32"/>
          <w:lang w:val="en-US" w:eastAsia="zh-CN"/>
        </w:rPr>
        <w:t>不断优化数字化转型体制机制建设，以政策制定为起点，顶层设计数字化转型蓝图，召开2024数字经济提速和数字化转型大会，与人民数据签订框架协议，成立省内首家“数据要素X”联合实验室，共同推动数据资产融合开发、数据要素场景应用、数据运营交易等工作。制定《2024年度滨湖区数字经济提速和数字化转型工作要点》《数字滨湖2024年度工作任务清单》，进一步修订《滨湖区政务信息化项目管理办法（试行）》，完善条款27条，增加条款11条，迭代升级组织架构，高效融合推进工作落实。</w:t>
      </w:r>
    </w:p>
    <w:p w14:paraId="265C2107">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3" w:firstLineChars="200"/>
        <w:jc w:val="both"/>
        <w:textAlignment w:val="auto"/>
        <w:rPr>
          <w:rFonts w:hint="eastAsia" w:ascii="宋体" w:hAnsi="宋体" w:eastAsia="方正仿宋_GB2312" w:cs="方正仿宋_GB2312"/>
          <w:b/>
          <w:bCs/>
          <w:sz w:val="32"/>
          <w:szCs w:val="32"/>
          <w:lang w:val="en-US" w:eastAsia="zh-CN"/>
        </w:rPr>
      </w:pPr>
      <w:r>
        <w:rPr>
          <w:rFonts w:hint="eastAsia" w:ascii="宋体" w:hAnsi="宋体" w:eastAsia="方正仿宋_GB2312" w:cs="方正仿宋_GB2312"/>
          <w:b/>
          <w:bCs/>
          <w:sz w:val="32"/>
          <w:szCs w:val="32"/>
          <w:lang w:val="en-US" w:eastAsia="zh-CN"/>
        </w:rPr>
        <w:t>3.高质量促进数实融合。</w:t>
      </w:r>
      <w:r>
        <w:rPr>
          <w:rFonts w:hint="eastAsia" w:ascii="宋体" w:hAnsi="宋体" w:eastAsia="方正仿宋_GB2312" w:cs="方正仿宋_GB2312"/>
          <w:sz w:val="32"/>
          <w:szCs w:val="40"/>
          <w:lang w:val="en-US" w:eastAsia="zh-CN"/>
        </w:rPr>
        <w:t>率先建成全市唯一经济运行治理平台——“经济云大脑”，多维度展现各领域经济运行情况，运用数字化手段助力全区经济运行分析决策，获评国家级奖项3项。拈花湾入选全国首批“5G+智慧旅游”应用试点，拈花湾夜间智慧旅游沉浸式体验新空间入选第一批全国智慧旅游沉浸式体验新空间培育试点名单，</w:t>
      </w:r>
      <w:r>
        <w:rPr>
          <w:rFonts w:hint="eastAsia" w:ascii="方正仿宋_GBK" w:hAnsi="方正仿宋_GBK" w:eastAsia="方正仿宋_GBK" w:cs="方正仿宋_GBK"/>
          <w:snapToGrid w:val="0"/>
          <w:color w:val="000000"/>
          <w:kern w:val="0"/>
          <w:sz w:val="32"/>
          <w:szCs w:val="32"/>
          <w:lang w:val="en-US" w:eastAsia="zh-CN" w:bidi="ar-SA"/>
        </w:rPr>
        <w:t>“数字滨湖”平台数据安全防护方案获省委网信办组织开展的</w:t>
      </w:r>
      <w:r>
        <w:rPr>
          <w:rFonts w:hint="eastAsia" w:ascii="宋体" w:hAnsi="宋体" w:eastAsia="宋体" w:cs="宋体"/>
          <w:snapToGrid w:val="0"/>
          <w:color w:val="000000"/>
          <w:kern w:val="0"/>
          <w:sz w:val="32"/>
          <w:szCs w:val="32"/>
          <w:lang w:val="en-US" w:eastAsia="zh-CN" w:bidi="ar-SA"/>
        </w:rPr>
        <w:t>2024</w:t>
      </w:r>
      <w:r>
        <w:rPr>
          <w:rFonts w:hint="eastAsia" w:ascii="方正仿宋_GBK" w:hAnsi="方正仿宋_GBK" w:eastAsia="方正仿宋_GBK" w:cs="方正仿宋_GBK"/>
          <w:snapToGrid w:val="0"/>
          <w:color w:val="000000"/>
          <w:kern w:val="0"/>
          <w:sz w:val="32"/>
          <w:szCs w:val="32"/>
          <w:lang w:val="en-US" w:eastAsia="zh-CN" w:bidi="ar-SA"/>
        </w:rPr>
        <w:t>江苏网络强省建设优秀实践成果认定。</w:t>
      </w:r>
      <w:r>
        <w:rPr>
          <w:rFonts w:hint="eastAsia" w:ascii="宋体" w:hAnsi="宋体" w:eastAsia="方正仿宋_GB2312" w:cs="方正仿宋_GB2312"/>
          <w:sz w:val="32"/>
          <w:szCs w:val="40"/>
          <w:lang w:val="en-US" w:eastAsia="zh-CN"/>
        </w:rPr>
        <w:t>截至目前，滨湖区共有经济云大脑、蠡园开发区智慧园区等18个场景接入市级城运体系，接入数量位列全市第一。</w:t>
      </w:r>
    </w:p>
    <w:p w14:paraId="2562063A">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jc w:val="both"/>
        <w:textAlignment w:val="auto"/>
        <w:rPr>
          <w:rFonts w:hint="eastAsia" w:ascii="宋体" w:hAnsi="宋体" w:eastAsia="方正楷体_GBK"/>
          <w:sz w:val="32"/>
          <w:szCs w:val="32"/>
          <w:lang w:val="en-US" w:eastAsia="zh-CN"/>
        </w:rPr>
      </w:pPr>
      <w:r>
        <w:rPr>
          <w:rFonts w:hint="eastAsia" w:ascii="宋体" w:hAnsi="宋体" w:eastAsia="方正楷体_GBK" w:cs="方正楷体_GBK"/>
          <w:kern w:val="2"/>
          <w:sz w:val="32"/>
          <w:szCs w:val="32"/>
          <w:lang w:val="en-US" w:eastAsia="zh-CN" w:bidi="ar-SA"/>
        </w:rPr>
        <w:t>（二）</w:t>
      </w:r>
      <w:r>
        <w:rPr>
          <w:rFonts w:hint="eastAsia" w:ascii="宋体" w:hAnsi="宋体" w:eastAsia="方正楷体_GBK"/>
          <w:sz w:val="32"/>
          <w:szCs w:val="32"/>
          <w:lang w:val="en-US" w:eastAsia="zh-CN"/>
        </w:rPr>
        <w:t>念好“聚”字诀，数据要素价值持续迸发</w:t>
      </w:r>
    </w:p>
    <w:p w14:paraId="24657D5A">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3" w:firstLineChars="200"/>
        <w:jc w:val="both"/>
        <w:textAlignment w:val="auto"/>
        <w:rPr>
          <w:rFonts w:hint="eastAsia" w:ascii="宋体" w:hAnsi="宋体" w:eastAsia="方正仿宋_GB2312" w:cs="方正仿宋_GB2312"/>
          <w:sz w:val="32"/>
          <w:szCs w:val="32"/>
          <w:lang w:val="en-US" w:eastAsia="zh-CN"/>
        </w:rPr>
      </w:pPr>
      <w:r>
        <w:rPr>
          <w:rFonts w:hint="eastAsia" w:ascii="宋体" w:hAnsi="宋体" w:eastAsia="方正楷体_GBK"/>
          <w:b/>
          <w:bCs/>
          <w:sz w:val="32"/>
          <w:szCs w:val="32"/>
          <w:lang w:val="en-US" w:eastAsia="zh-CN"/>
        </w:rPr>
        <w:t>1.</w:t>
      </w:r>
      <w:r>
        <w:rPr>
          <w:rFonts w:hint="eastAsia" w:ascii="宋体" w:hAnsi="宋体" w:eastAsia="方正仿宋_GB2312" w:cs="方正仿宋_GB2312"/>
          <w:b/>
          <w:bCs/>
          <w:sz w:val="32"/>
          <w:szCs w:val="32"/>
          <w:lang w:val="en-US" w:eastAsia="zh-CN"/>
        </w:rPr>
        <w:t>加大数据归集治理力度。</w:t>
      </w:r>
      <w:r>
        <w:rPr>
          <w:rFonts w:hint="eastAsia" w:ascii="宋体" w:hAnsi="宋体" w:eastAsia="方正仿宋_GB2312" w:cs="方正仿宋_GB2312"/>
          <w:sz w:val="32"/>
          <w:szCs w:val="32"/>
        </w:rPr>
        <w:t>开展数据治理攻坚行动</w:t>
      </w:r>
      <w:r>
        <w:rPr>
          <w:rFonts w:hint="eastAsia" w:ascii="宋体" w:hAnsi="宋体" w:eastAsia="方正仿宋_GB2312" w:cs="方正仿宋_GB2312"/>
          <w:sz w:val="32"/>
          <w:szCs w:val="32"/>
          <w:lang w:eastAsia="zh-CN"/>
        </w:rPr>
        <w:t>，制定《滨湖区争创无锡市区级政务数据综合治理试点区实施方案》，</w:t>
      </w:r>
      <w:r>
        <w:rPr>
          <w:rFonts w:hint="eastAsia" w:ascii="宋体" w:hAnsi="宋体" w:eastAsia="方正仿宋_GB2312" w:cs="方正仿宋_GB2312"/>
          <w:sz w:val="32"/>
          <w:szCs w:val="32"/>
          <w:lang w:val="en-US" w:eastAsia="zh-CN"/>
        </w:rPr>
        <w:t>初步构建</w:t>
      </w:r>
      <w:r>
        <w:rPr>
          <w:rFonts w:hint="eastAsia" w:ascii="宋体" w:hAnsi="宋体" w:eastAsia="方正仿宋_GB2312" w:cs="方正仿宋_GB2312"/>
          <w:sz w:val="32"/>
          <w:szCs w:val="32"/>
        </w:rPr>
        <w:t>“5＋5＋5”的数据资源体系</w:t>
      </w:r>
      <w:r>
        <w:rPr>
          <w:rFonts w:hint="eastAsia" w:ascii="宋体" w:hAnsi="宋体" w:eastAsia="方正仿宋_GB2312" w:cs="方正仿宋_GB2312"/>
          <w:sz w:val="32"/>
          <w:szCs w:val="32"/>
          <w:lang w:eastAsia="zh-CN"/>
        </w:rPr>
        <w:t>，</w:t>
      </w:r>
      <w:r>
        <w:rPr>
          <w:rFonts w:hint="eastAsia" w:ascii="宋体" w:hAnsi="宋体" w:eastAsia="方正仿宋_GB2312" w:cs="方正仿宋_GB2312"/>
          <w:sz w:val="32"/>
          <w:szCs w:val="32"/>
        </w:rPr>
        <w:t>其中，基础库数据</w:t>
      </w:r>
      <w:r>
        <w:rPr>
          <w:rFonts w:hint="eastAsia" w:ascii="宋体" w:hAnsi="宋体" w:eastAsia="方正仿宋_GB2312" w:cs="方正仿宋_GB2312"/>
          <w:sz w:val="32"/>
          <w:szCs w:val="32"/>
          <w:highlight w:val="none"/>
          <w:lang w:val="en-US" w:eastAsia="zh-CN"/>
        </w:rPr>
        <w:t>2.78</w:t>
      </w:r>
      <w:r>
        <w:rPr>
          <w:rFonts w:hint="eastAsia" w:ascii="宋体" w:hAnsi="宋体" w:eastAsia="方正仿宋_GB2312" w:cs="方正仿宋_GB2312"/>
          <w:sz w:val="32"/>
          <w:szCs w:val="32"/>
          <w:highlight w:val="none"/>
        </w:rPr>
        <w:t>亿</w:t>
      </w:r>
      <w:r>
        <w:rPr>
          <w:rFonts w:hint="eastAsia" w:ascii="宋体" w:hAnsi="宋体" w:eastAsia="方正仿宋_GB2312" w:cs="方正仿宋_GB2312"/>
          <w:sz w:val="32"/>
          <w:szCs w:val="32"/>
        </w:rPr>
        <w:t>条，主题库</w:t>
      </w:r>
      <w:r>
        <w:rPr>
          <w:rFonts w:hint="eastAsia" w:ascii="宋体" w:hAnsi="宋体" w:eastAsia="方正仿宋_GB2312" w:cs="方正仿宋_GB2312"/>
          <w:sz w:val="32"/>
          <w:szCs w:val="32"/>
          <w:highlight w:val="none"/>
          <w:lang w:val="en-US" w:eastAsia="zh-CN"/>
        </w:rPr>
        <w:t>2.3</w:t>
      </w:r>
      <w:r>
        <w:rPr>
          <w:rFonts w:hint="eastAsia" w:ascii="宋体" w:hAnsi="宋体" w:eastAsia="方正仿宋_GB2312" w:cs="方正仿宋_GB2312"/>
          <w:sz w:val="32"/>
          <w:szCs w:val="32"/>
          <w:highlight w:val="none"/>
        </w:rPr>
        <w:t>亿</w:t>
      </w:r>
      <w:r>
        <w:rPr>
          <w:rFonts w:hint="eastAsia" w:ascii="宋体" w:hAnsi="宋体" w:eastAsia="方正仿宋_GB2312" w:cs="方正仿宋_GB2312"/>
          <w:sz w:val="32"/>
          <w:szCs w:val="32"/>
        </w:rPr>
        <w:t>条，专题库数据共计</w:t>
      </w:r>
      <w:r>
        <w:rPr>
          <w:rFonts w:hint="eastAsia" w:ascii="宋体" w:hAnsi="宋体" w:eastAsia="方正仿宋_GB2312" w:cs="方正仿宋_GB2312"/>
          <w:sz w:val="32"/>
          <w:szCs w:val="32"/>
          <w:highlight w:val="none"/>
          <w:lang w:val="en-US" w:eastAsia="zh-CN"/>
        </w:rPr>
        <w:t>266.85</w:t>
      </w:r>
      <w:r>
        <w:rPr>
          <w:rFonts w:hint="eastAsia" w:ascii="宋体" w:hAnsi="宋体" w:eastAsia="方正仿宋_GB2312" w:cs="方正仿宋_GB2312"/>
          <w:sz w:val="32"/>
          <w:szCs w:val="32"/>
          <w:highlight w:val="none"/>
        </w:rPr>
        <w:t>万</w:t>
      </w:r>
      <w:r>
        <w:rPr>
          <w:rFonts w:hint="eastAsia" w:ascii="宋体" w:hAnsi="宋体" w:eastAsia="方正仿宋_GB2312" w:cs="方正仿宋_GB2312"/>
          <w:sz w:val="32"/>
          <w:szCs w:val="32"/>
        </w:rPr>
        <w:t>条。</w:t>
      </w:r>
      <w:r>
        <w:rPr>
          <w:rFonts w:hint="eastAsia" w:ascii="宋体" w:hAnsi="宋体" w:eastAsia="方正仿宋_GB2312" w:cs="方正仿宋_GB2312"/>
          <w:sz w:val="32"/>
          <w:szCs w:val="32"/>
          <w:highlight w:val="none"/>
          <w:lang w:val="en-US" w:eastAsia="zh-CN"/>
        </w:rPr>
        <w:t>持续深化</w:t>
      </w:r>
      <w:r>
        <w:rPr>
          <w:rFonts w:hint="eastAsia" w:ascii="宋体" w:hAnsi="宋体" w:eastAsia="方正仿宋_GB2312" w:cs="方正仿宋_GB2312"/>
          <w:spacing w:val="0"/>
          <w:sz w:val="32"/>
          <w:szCs w:val="32"/>
          <w:u w:val="none"/>
        </w:rPr>
        <w:t>公共数据资源</w:t>
      </w:r>
      <w:r>
        <w:rPr>
          <w:rFonts w:hint="eastAsia" w:ascii="宋体" w:hAnsi="宋体" w:eastAsia="方正仿宋_GB2312" w:cs="方正仿宋_GB2312"/>
          <w:spacing w:val="0"/>
          <w:sz w:val="32"/>
          <w:szCs w:val="32"/>
          <w:u w:val="none"/>
          <w:lang w:val="en-US" w:eastAsia="zh-CN"/>
        </w:rPr>
        <w:t>汇聚</w:t>
      </w:r>
      <w:r>
        <w:rPr>
          <w:rFonts w:hint="eastAsia" w:ascii="宋体" w:hAnsi="宋体" w:eastAsia="方正仿宋_GB2312" w:cs="方正仿宋_GB2312"/>
          <w:spacing w:val="0"/>
          <w:sz w:val="32"/>
          <w:szCs w:val="32"/>
          <w:u w:val="none"/>
        </w:rPr>
        <w:t>治理</w:t>
      </w:r>
      <w:r>
        <w:rPr>
          <w:rFonts w:hint="eastAsia" w:ascii="宋体" w:hAnsi="宋体" w:eastAsia="方正仿宋_GB2312" w:cs="方正仿宋_GB2312"/>
          <w:sz w:val="32"/>
          <w:szCs w:val="32"/>
          <w:highlight w:val="none"/>
          <w:lang w:val="en-US" w:eastAsia="zh-CN"/>
        </w:rPr>
        <w:t>，</w:t>
      </w:r>
      <w:r>
        <w:rPr>
          <w:rFonts w:hint="eastAsia" w:ascii="宋体" w:hAnsi="宋体" w:eastAsia="方正仿宋_GB2312" w:cs="方正仿宋_GB2312"/>
          <w:sz w:val="32"/>
          <w:szCs w:val="32"/>
          <w:lang w:val="en-US" w:eastAsia="zh-CN"/>
        </w:rPr>
        <w:t>截至目前，区大数据中心数据总量为</w:t>
      </w:r>
      <w:r>
        <w:rPr>
          <w:rFonts w:hint="eastAsia" w:ascii="宋体" w:hAnsi="宋体" w:eastAsia="方正仿宋_GB2312" w:cs="方正仿宋_GB2312"/>
          <w:sz w:val="32"/>
          <w:szCs w:val="32"/>
          <w:highlight w:val="none"/>
        </w:rPr>
        <w:t>3.</w:t>
      </w:r>
      <w:r>
        <w:rPr>
          <w:rFonts w:hint="eastAsia" w:ascii="宋体" w:hAnsi="宋体" w:eastAsia="方正仿宋_GB2312" w:cs="方正仿宋_GB2312"/>
          <w:sz w:val="32"/>
          <w:szCs w:val="32"/>
          <w:highlight w:val="none"/>
          <w:lang w:val="en-US" w:eastAsia="zh-CN"/>
        </w:rPr>
        <w:t>82</w:t>
      </w:r>
      <w:r>
        <w:rPr>
          <w:rFonts w:hint="eastAsia" w:ascii="宋体" w:hAnsi="宋体" w:eastAsia="方正仿宋_GB2312" w:cs="方正仿宋_GB2312"/>
          <w:sz w:val="32"/>
          <w:szCs w:val="32"/>
          <w:highlight w:val="none"/>
        </w:rPr>
        <w:t>亿</w:t>
      </w:r>
      <w:r>
        <w:rPr>
          <w:rFonts w:hint="eastAsia" w:ascii="宋体" w:hAnsi="宋体" w:eastAsia="方正仿宋_GB2312" w:cs="方正仿宋_GB2312"/>
          <w:sz w:val="32"/>
          <w:szCs w:val="32"/>
        </w:rPr>
        <w:t>条</w:t>
      </w:r>
      <w:r>
        <w:rPr>
          <w:rFonts w:hint="eastAsia" w:ascii="宋体" w:hAnsi="宋体" w:eastAsia="方正仿宋_GB2312" w:cs="方正仿宋_GB2312"/>
          <w:sz w:val="32"/>
          <w:szCs w:val="32"/>
          <w:lang w:val="en-US" w:eastAsia="zh-CN"/>
        </w:rPr>
        <w:t>，其中回流市数据局、市城运中心等市级相关部门</w:t>
      </w:r>
      <w:r>
        <w:rPr>
          <w:rFonts w:hint="eastAsia" w:ascii="宋体" w:hAnsi="宋体" w:eastAsia="方正仿宋_GB2312" w:cs="方正仿宋_GB2312"/>
          <w:color w:val="auto"/>
          <w:sz w:val="32"/>
          <w:szCs w:val="32"/>
          <w:highlight w:val="none"/>
          <w:lang w:val="en-US" w:eastAsia="zh-CN"/>
        </w:rPr>
        <w:t>2.61亿</w:t>
      </w:r>
      <w:r>
        <w:rPr>
          <w:rFonts w:hint="eastAsia" w:ascii="宋体" w:hAnsi="宋体" w:eastAsia="方正仿宋_GB2312" w:cs="方正仿宋_GB2312"/>
          <w:sz w:val="32"/>
          <w:szCs w:val="32"/>
          <w:lang w:val="en-US" w:eastAsia="zh-CN"/>
        </w:rPr>
        <w:t>条数据，汇聚全区60余个委办局</w:t>
      </w:r>
      <w:r>
        <w:rPr>
          <w:rFonts w:hint="eastAsia" w:ascii="宋体" w:hAnsi="宋体" w:eastAsia="方正仿宋_GB2312" w:cs="方正仿宋_GB2312"/>
          <w:color w:val="auto"/>
          <w:sz w:val="32"/>
          <w:szCs w:val="32"/>
          <w:highlight w:val="none"/>
          <w:lang w:val="en-US" w:eastAsia="zh-CN"/>
        </w:rPr>
        <w:t>1.21亿条</w:t>
      </w:r>
      <w:r>
        <w:rPr>
          <w:rFonts w:hint="eastAsia" w:ascii="宋体" w:hAnsi="宋体" w:eastAsia="方正仿宋_GB2312" w:cs="方正仿宋_GB2312"/>
          <w:sz w:val="32"/>
          <w:szCs w:val="32"/>
          <w:lang w:val="en-US" w:eastAsia="zh-CN"/>
        </w:rPr>
        <w:t>数据。</w:t>
      </w:r>
    </w:p>
    <w:p w14:paraId="0F5A5DF8">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3" w:firstLineChars="200"/>
        <w:jc w:val="both"/>
        <w:textAlignment w:val="auto"/>
        <w:rPr>
          <w:rFonts w:hint="eastAsia" w:ascii="宋体" w:hAnsi="宋体" w:eastAsia="方正仿宋_GB2312" w:cs="方正仿宋_GB2312"/>
          <w:sz w:val="32"/>
          <w:szCs w:val="32"/>
          <w:lang w:val="en-US" w:eastAsia="zh-CN"/>
        </w:rPr>
      </w:pPr>
      <w:r>
        <w:rPr>
          <w:rFonts w:hint="eastAsia" w:ascii="宋体" w:hAnsi="宋体" w:eastAsia="方正仿宋_GBK" w:cs="方正仿宋_GBK"/>
          <w:b/>
          <w:bCs/>
          <w:sz w:val="32"/>
          <w:szCs w:val="32"/>
          <w:lang w:val="en-US" w:eastAsia="zh-CN"/>
        </w:rPr>
        <w:t>2.</w:t>
      </w:r>
      <w:r>
        <w:rPr>
          <w:rFonts w:hint="eastAsia" w:ascii="宋体" w:hAnsi="宋体" w:eastAsia="方正仿宋_GB2312" w:cs="方正仿宋_GB2312"/>
          <w:b/>
          <w:bCs/>
          <w:sz w:val="32"/>
          <w:szCs w:val="32"/>
          <w:lang w:val="en-US" w:eastAsia="zh-CN"/>
        </w:rPr>
        <w:t>提升数据共享开放水平。</w:t>
      </w:r>
      <w:r>
        <w:rPr>
          <w:rFonts w:hint="eastAsia" w:ascii="宋体" w:hAnsi="宋体" w:eastAsia="方正仿宋_GB2312" w:cs="方正仿宋_GB2312"/>
          <w:sz w:val="32"/>
          <w:szCs w:val="32"/>
          <w:lang w:val="en-US" w:eastAsia="zh-CN"/>
        </w:rPr>
        <w:t>开展公共数据资源目录核查工作，全区7个街道板块和50个部门共编制公共数据资源目录2452个，同比增长103.99%，信息项35555条，同比增长385.66%。开展本年度开放数据归集工作，共归集开放数据集142个，同比增长40.59%。建设滨湖区公共数据资源共享门户，推进项目尽快投入使用，进一步畅通公共数据共享利用渠道。</w:t>
      </w:r>
    </w:p>
    <w:p w14:paraId="05A42A69">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3" w:firstLineChars="200"/>
        <w:jc w:val="both"/>
        <w:textAlignment w:val="auto"/>
        <w:rPr>
          <w:rFonts w:hint="eastAsia" w:ascii="宋体" w:hAnsi="宋体" w:eastAsia="方正仿宋_GB2312" w:cs="方正仿宋_GB2312"/>
          <w:sz w:val="32"/>
          <w:szCs w:val="32"/>
          <w:lang w:val="en-US" w:eastAsia="zh-CN"/>
        </w:rPr>
      </w:pPr>
      <w:r>
        <w:rPr>
          <w:rFonts w:hint="eastAsia" w:ascii="宋体" w:hAnsi="宋体" w:eastAsia="方正仿宋_GBK" w:cs="方正仿宋_GBK"/>
          <w:b/>
          <w:bCs/>
          <w:sz w:val="32"/>
          <w:szCs w:val="32"/>
          <w:lang w:val="en-US" w:eastAsia="zh-CN"/>
        </w:rPr>
        <w:t>3.</w:t>
      </w:r>
      <w:r>
        <w:rPr>
          <w:rFonts w:hint="eastAsia" w:ascii="宋体" w:hAnsi="宋体" w:eastAsia="方正仿宋_GB2312" w:cs="方正仿宋_GB2312"/>
          <w:b/>
          <w:bCs/>
          <w:sz w:val="32"/>
          <w:szCs w:val="32"/>
          <w:lang w:val="en-US" w:eastAsia="zh-CN"/>
        </w:rPr>
        <w:t>加快数据开发利用步伐。</w:t>
      </w:r>
      <w:r>
        <w:rPr>
          <w:rFonts w:hint="eastAsia" w:ascii="宋体" w:hAnsi="宋体" w:eastAsia="方正仿宋_GB2312" w:cs="方正仿宋_GB2312"/>
          <w:sz w:val="32"/>
          <w:szCs w:val="32"/>
          <w:lang w:val="en-US" w:eastAsia="zh-CN"/>
        </w:rPr>
        <w:t>在全省率先制定《滨湖区数据要素发展指数评价体系》，为推进数据要素配置市场化改革提供区县层级评价体系样板。推进滨湖区公共资源交易中心数据交易分中心、锡数交滨湖分中心挂牌成立，依托汇创算力数据产业园，挂牌成立汇创数据要素产业园。积极引育数商和第三方服务机构，新增11家数商企业入驻锡数交滨湖分中心，积极推动数据产品开发登记，完成新增数据产品登记15个。依托房冠物业停车数据完成数商登记、数据资源入表、数据质押授信、数据产品登记挂牌和数据交易全链条案例，实现数据交易零的突破。</w:t>
      </w:r>
    </w:p>
    <w:p w14:paraId="5D890B7C">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jc w:val="both"/>
        <w:textAlignment w:val="auto"/>
        <w:rPr>
          <w:rFonts w:hint="default" w:ascii="宋体" w:hAnsi="宋体" w:eastAsia="方正楷体_GBK"/>
          <w:sz w:val="32"/>
          <w:szCs w:val="32"/>
          <w:highlight w:val="none"/>
          <w:lang w:val="en-US" w:eastAsia="zh-CN"/>
        </w:rPr>
      </w:pPr>
      <w:bookmarkStart w:id="0" w:name="OLE_LINK1"/>
      <w:r>
        <w:rPr>
          <w:rFonts w:hint="eastAsia" w:ascii="宋体" w:hAnsi="宋体" w:eastAsia="方正楷体_GBK"/>
          <w:sz w:val="32"/>
          <w:szCs w:val="32"/>
          <w:highlight w:val="none"/>
          <w:lang w:val="en-US" w:eastAsia="zh-CN"/>
        </w:rPr>
        <w:t>（三）念好“精”字诀，数字经济效能持续释放</w:t>
      </w:r>
    </w:p>
    <w:p w14:paraId="2778894E">
      <w:pPr>
        <w:keepNext w:val="0"/>
        <w:keepLines w:val="0"/>
        <w:pageBreakBefore w:val="0"/>
        <w:widowControl w:val="0"/>
        <w:kinsoku/>
        <w:wordWrap/>
        <w:overflowPunct/>
        <w:topLinePunct w:val="0"/>
        <w:autoSpaceDE/>
        <w:autoSpaceDN/>
        <w:bidi w:val="0"/>
        <w:adjustRightInd/>
        <w:snapToGrid/>
        <w:spacing w:line="592" w:lineRule="exact"/>
        <w:ind w:firstLine="643" w:firstLineChars="200"/>
        <w:textAlignment w:val="auto"/>
        <w:rPr>
          <w:rFonts w:hint="eastAsia" w:ascii="宋体" w:hAnsi="宋体" w:eastAsia="方正仿宋_GBK" w:cs="宋体"/>
          <w:sz w:val="32"/>
          <w:szCs w:val="32"/>
          <w:highlight w:val="none"/>
          <w:lang w:val="en-US" w:eastAsia="zh-CN"/>
        </w:rPr>
      </w:pPr>
      <w:r>
        <w:rPr>
          <w:rFonts w:hint="eastAsia" w:ascii="宋体" w:hAnsi="宋体" w:eastAsia="方正仿宋_GBK" w:cs="方正仿宋_GBK"/>
          <w:b/>
          <w:bCs/>
          <w:sz w:val="32"/>
          <w:szCs w:val="40"/>
          <w:highlight w:val="none"/>
          <w:lang w:val="en-US" w:eastAsia="zh-CN"/>
        </w:rPr>
        <w:t>1.</w:t>
      </w:r>
      <w:r>
        <w:rPr>
          <w:rFonts w:hint="eastAsia" w:ascii="方正仿宋_GB2312" w:hAnsi="方正仿宋_GB2312" w:eastAsia="方正仿宋_GB2312" w:cs="方正仿宋_GB2312"/>
          <w:b/>
          <w:bCs/>
          <w:sz w:val="32"/>
          <w:szCs w:val="32"/>
          <w:highlight w:val="none"/>
          <w:lang w:val="en-US" w:eastAsia="zh-CN"/>
        </w:rPr>
        <w:t>数字经济整体稳步增长。</w:t>
      </w:r>
      <w:r>
        <w:rPr>
          <w:rFonts w:hint="eastAsia" w:ascii="宋体" w:hAnsi="宋体" w:eastAsia="方正仿宋_GBK" w:cs="宋体"/>
          <w:sz w:val="32"/>
          <w:szCs w:val="32"/>
          <w:highlight w:val="none"/>
          <w:lang w:val="en-US" w:eastAsia="zh-CN"/>
        </w:rPr>
        <w:t>1-10月，滨湖区数字经济核心产业营业收入增幅势头较好，全区数字经济核心产业在库企业数232家，实现营业收入186.80亿元，同比增速9.97%。其中，工业企业77家，完成营业收入104.28亿元，同比增幅5.45%，占总营收一半以上，核心支撑作用明显；服务业企业119家，完成营业收入55.22亿元，同比增幅21.18%，三类别中增速最快，增长态势良好；批发零售企业36家，完成营业收入27.30亿元，同比增幅7.48%，继续保持增长态势。</w:t>
      </w:r>
    </w:p>
    <w:p w14:paraId="611130D0">
      <w:pPr>
        <w:keepNext w:val="0"/>
        <w:keepLines w:val="0"/>
        <w:pageBreakBefore w:val="0"/>
        <w:widowControl w:val="0"/>
        <w:kinsoku/>
        <w:wordWrap/>
        <w:overflowPunct/>
        <w:topLinePunct w:val="0"/>
        <w:autoSpaceDE/>
        <w:autoSpaceDN/>
        <w:bidi w:val="0"/>
        <w:adjustRightInd/>
        <w:snapToGrid/>
        <w:spacing w:line="592" w:lineRule="exact"/>
        <w:ind w:firstLine="643" w:firstLineChars="200"/>
        <w:textAlignment w:val="auto"/>
        <w:rPr>
          <w:rFonts w:hint="default" w:ascii="宋体" w:hAnsi="宋体" w:eastAsia="方正仿宋_GBK" w:cs="宋体"/>
          <w:sz w:val="32"/>
          <w:szCs w:val="32"/>
          <w:highlight w:val="none"/>
          <w:lang w:val="en-US" w:eastAsia="zh-CN"/>
        </w:rPr>
      </w:pPr>
      <w:r>
        <w:rPr>
          <w:rFonts w:hint="eastAsia" w:ascii="宋体" w:hAnsi="宋体" w:eastAsia="方正仿宋_GBK"/>
          <w:b/>
          <w:bCs/>
          <w:sz w:val="32"/>
          <w:szCs w:val="32"/>
          <w:highlight w:val="none"/>
          <w:lang w:val="en-US" w:eastAsia="zh-CN"/>
        </w:rPr>
        <w:t>2</w:t>
      </w:r>
      <w:r>
        <w:rPr>
          <w:rFonts w:hint="eastAsia" w:ascii="宋体" w:hAnsi="宋体" w:eastAsia="方正仿宋_GBK"/>
          <w:b/>
          <w:bCs/>
          <w:sz w:val="32"/>
          <w:szCs w:val="32"/>
          <w:highlight w:val="none"/>
        </w:rPr>
        <w:t>.</w:t>
      </w:r>
      <w:r>
        <w:rPr>
          <w:rFonts w:hint="eastAsia" w:ascii="方正仿宋_GB2312" w:hAnsi="方正仿宋_GB2312" w:eastAsia="方正仿宋_GB2312" w:cs="方正仿宋_GB2312"/>
          <w:b/>
          <w:bCs/>
          <w:sz w:val="32"/>
          <w:szCs w:val="32"/>
          <w:highlight w:val="none"/>
          <w:lang w:val="en-US" w:eastAsia="zh-CN"/>
        </w:rPr>
        <w:t>数字特色园区蓬勃发展。</w:t>
      </w:r>
      <w:r>
        <w:rPr>
          <w:rFonts w:hint="eastAsia" w:ascii="宋体" w:hAnsi="宋体" w:eastAsia="方正仿宋_GBK" w:cs="宋体"/>
          <w:sz w:val="32"/>
          <w:szCs w:val="32"/>
          <w:highlight w:val="none"/>
          <w:lang w:val="en-US" w:eastAsia="zh-CN"/>
        </w:rPr>
        <w:t>截至10月，滨湖区已建成数字经济特色园区3个（申威信创产业园一期、汇创算力数据产业园、湖滨路元宇宙文创园），面积共19万平方米，入驻企业54家，涵盖车联网、超算、人工智能、元宇宙等领域。在建数字经济特色园区1个（夏家边数字科技园），面积75.9万平方米，完成投资4.4亿元，完成计划进度的13.1%，涵盖软件信息、信息安全、数字经济等领域。规划中数字经济特色园区3个（申威信创产业园二期、南泉民用航空产业园、蠡湖未来城AI产业园），涵盖海空天装备技术、人工智能、元宇宙等领域。</w:t>
      </w:r>
    </w:p>
    <w:p w14:paraId="7B62405A">
      <w:pPr>
        <w:keepNext w:val="0"/>
        <w:keepLines w:val="0"/>
        <w:pageBreakBefore w:val="0"/>
        <w:widowControl w:val="0"/>
        <w:kinsoku/>
        <w:wordWrap/>
        <w:overflowPunct/>
        <w:topLinePunct w:val="0"/>
        <w:autoSpaceDE/>
        <w:autoSpaceDN/>
        <w:bidi w:val="0"/>
        <w:adjustRightInd/>
        <w:snapToGrid/>
        <w:spacing w:line="592" w:lineRule="exact"/>
        <w:ind w:firstLine="643" w:firstLineChars="200"/>
        <w:textAlignment w:val="auto"/>
        <w:rPr>
          <w:rFonts w:hint="eastAsia" w:ascii="宋体" w:hAnsi="宋体" w:eastAsia="方正仿宋_GB2312" w:cs="方正仿宋_GB2312"/>
          <w:sz w:val="32"/>
          <w:szCs w:val="32"/>
          <w:highlight w:val="yellow"/>
          <w:lang w:val="en-US" w:eastAsia="zh-CN"/>
        </w:rPr>
      </w:pPr>
      <w:r>
        <w:rPr>
          <w:rFonts w:hint="eastAsia" w:ascii="宋体" w:hAnsi="宋体" w:eastAsia="方正仿宋_GBK"/>
          <w:b/>
          <w:bCs/>
          <w:sz w:val="32"/>
          <w:szCs w:val="32"/>
          <w:highlight w:val="none"/>
          <w:lang w:val="en-US" w:eastAsia="zh-CN"/>
        </w:rPr>
        <w:t>3</w:t>
      </w:r>
      <w:r>
        <w:rPr>
          <w:rFonts w:hint="eastAsia" w:ascii="宋体" w:hAnsi="宋体" w:eastAsia="方正仿宋_GBK"/>
          <w:b/>
          <w:bCs/>
          <w:sz w:val="32"/>
          <w:szCs w:val="32"/>
          <w:highlight w:val="none"/>
        </w:rPr>
        <w:t>.</w:t>
      </w:r>
      <w:r>
        <w:rPr>
          <w:rFonts w:hint="eastAsia" w:ascii="方正仿宋_GB2312" w:hAnsi="方正仿宋_GB2312" w:eastAsia="方正仿宋_GB2312" w:cs="方正仿宋_GB2312"/>
          <w:b/>
          <w:bCs/>
          <w:sz w:val="32"/>
          <w:szCs w:val="32"/>
          <w:highlight w:val="none"/>
          <w:lang w:val="en-US" w:eastAsia="zh-CN"/>
        </w:rPr>
        <w:t>数字社会工作扎实</w:t>
      </w:r>
      <w:r>
        <w:rPr>
          <w:rFonts w:hint="eastAsia" w:ascii="方正仿宋_GB2312" w:hAnsi="方正仿宋_GB2312" w:eastAsia="方正仿宋_GB2312" w:cs="方正仿宋_GB2312"/>
          <w:b/>
          <w:bCs/>
          <w:sz w:val="32"/>
          <w:szCs w:val="32"/>
          <w:lang w:val="en-US" w:eastAsia="zh-CN"/>
        </w:rPr>
        <w:t>推进。</w:t>
      </w:r>
      <w:r>
        <w:rPr>
          <w:rFonts w:hint="default" w:ascii="宋体" w:hAnsi="宋体" w:eastAsia="方正仿宋_GBK" w:cs="宋体"/>
          <w:sz w:val="32"/>
          <w:szCs w:val="32"/>
          <w:lang w:val="en-US" w:eastAsia="zh-CN"/>
        </w:rPr>
        <w:t>今年6月份，省数据局启动了2024年全省数字社会重大场景和重点工程培育项目申报报送工作。</w:t>
      </w:r>
      <w:r>
        <w:rPr>
          <w:rFonts w:hint="eastAsia" w:ascii="方正仿宋_GB2312" w:hAnsi="方正仿宋_GB2312" w:eastAsia="方正仿宋_GB2312" w:cs="方正仿宋_GB2312"/>
          <w:sz w:val="32"/>
          <w:szCs w:val="32"/>
          <w:lang w:val="en-US" w:eastAsia="zh-CN"/>
        </w:rPr>
        <w:t>我局</w:t>
      </w:r>
      <w:r>
        <w:rPr>
          <w:rFonts w:hint="default" w:ascii="宋体" w:hAnsi="宋体" w:eastAsia="方正仿宋_GBK" w:cs="宋体"/>
          <w:sz w:val="32"/>
          <w:szCs w:val="32"/>
          <w:lang w:val="en-US" w:eastAsia="zh-CN"/>
        </w:rPr>
        <w:t>积极对接市局职能处室，主动联系对接区数字经济工作领导小组主要部门、7个镇街道板块以及15家企业单位，同时从历年“滨湖区政务信息化项目实施计划</w:t>
      </w:r>
      <w:r>
        <w:rPr>
          <w:rFonts w:hint="eastAsia" w:cs="宋体"/>
          <w:sz w:val="32"/>
          <w:szCs w:val="32"/>
          <w:lang w:val="en-US" w:eastAsia="zh-CN"/>
        </w:rPr>
        <w:t>”《</w:t>
      </w:r>
      <w:r>
        <w:rPr>
          <w:rFonts w:hint="default" w:ascii="宋体" w:hAnsi="宋体" w:eastAsia="方正仿宋_GBK" w:cs="宋体"/>
          <w:sz w:val="32"/>
          <w:szCs w:val="32"/>
          <w:lang w:val="en-US" w:eastAsia="zh-CN"/>
        </w:rPr>
        <w:t>“数据要素×”典型案例》等多方渠道主动挖掘出潜在场景26个，经过一一对接、全面动员、鼓励申报，最后形成《2024年数字社会重大场景和重点工程推荐名单》，共计向市局申报场景项目11个。现经市局选定</w:t>
      </w:r>
      <w:r>
        <w:rPr>
          <w:rFonts w:hint="eastAsia" w:cs="宋体"/>
          <w:sz w:val="32"/>
          <w:szCs w:val="32"/>
          <w:lang w:val="en-US" w:eastAsia="zh-CN"/>
        </w:rPr>
        <w:t>“</w:t>
      </w:r>
      <w:r>
        <w:rPr>
          <w:rFonts w:hint="default" w:ascii="宋体" w:hAnsi="宋体" w:eastAsia="方正仿宋_GBK" w:cs="宋体"/>
          <w:sz w:val="32"/>
          <w:szCs w:val="32"/>
          <w:lang w:val="en-US" w:eastAsia="zh-CN"/>
        </w:rPr>
        <w:t>经济云大脑</w:t>
      </w:r>
      <w:r>
        <w:rPr>
          <w:rFonts w:hint="eastAsia" w:cs="宋体"/>
          <w:sz w:val="32"/>
          <w:szCs w:val="32"/>
          <w:lang w:val="en-US" w:eastAsia="zh-CN"/>
        </w:rPr>
        <w:t>”</w:t>
      </w:r>
      <w:r>
        <w:rPr>
          <w:rFonts w:hint="default" w:ascii="宋体" w:hAnsi="宋体" w:eastAsia="方正仿宋_GBK" w:cs="宋体"/>
          <w:sz w:val="32"/>
          <w:szCs w:val="32"/>
          <w:lang w:val="en-US" w:eastAsia="zh-CN"/>
        </w:rPr>
        <w:t>一网同治项目、拈花云智慧文旅云平台和北斗智能装备研发制造用房项目3个项目纳入市级上报参选项目目录。</w:t>
      </w:r>
    </w:p>
    <w:bookmarkEnd w:id="0"/>
    <w:p w14:paraId="7330DA06">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jc w:val="both"/>
        <w:textAlignment w:val="auto"/>
        <w:rPr>
          <w:rFonts w:hint="eastAsia" w:ascii="宋体" w:hAnsi="宋体" w:eastAsia="方正楷体_GBK"/>
          <w:sz w:val="32"/>
          <w:szCs w:val="32"/>
          <w:lang w:val="en-US" w:eastAsia="zh-CN"/>
        </w:rPr>
      </w:pPr>
      <w:r>
        <w:rPr>
          <w:rFonts w:hint="eastAsia" w:ascii="宋体" w:hAnsi="宋体" w:eastAsia="方正楷体_GBK" w:cstheme="minorBidi"/>
          <w:kern w:val="2"/>
          <w:sz w:val="32"/>
          <w:szCs w:val="32"/>
          <w:lang w:val="en-US" w:eastAsia="zh-CN" w:bidi="ar-SA"/>
        </w:rPr>
        <w:t>（四）</w:t>
      </w:r>
      <w:r>
        <w:rPr>
          <w:rFonts w:hint="eastAsia" w:ascii="宋体" w:hAnsi="宋体" w:eastAsia="方正楷体_GBK"/>
          <w:sz w:val="32"/>
          <w:szCs w:val="32"/>
          <w:lang w:val="en-US" w:eastAsia="zh-CN"/>
        </w:rPr>
        <w:t>念好“通”字诀，“一网通办”改革持续深化</w:t>
      </w:r>
    </w:p>
    <w:p w14:paraId="63DE369D">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3" w:firstLineChars="200"/>
        <w:jc w:val="both"/>
        <w:textAlignment w:val="auto"/>
        <w:rPr>
          <w:rFonts w:hint="eastAsia" w:ascii="宋体" w:hAnsi="宋体" w:eastAsia="方正仿宋_GB2312" w:cs="方正仿宋_GB2312"/>
          <w:b w:val="0"/>
          <w:bCs w:val="0"/>
          <w:sz w:val="32"/>
          <w:szCs w:val="32"/>
          <w:lang w:val="en-US" w:eastAsia="zh-CN"/>
        </w:rPr>
      </w:pPr>
      <w:r>
        <w:rPr>
          <w:rFonts w:hint="eastAsia" w:ascii="宋体" w:hAnsi="宋体" w:eastAsia="方正楷体_GBK"/>
          <w:b/>
          <w:bCs/>
          <w:sz w:val="32"/>
          <w:szCs w:val="32"/>
          <w:lang w:val="en-US" w:eastAsia="zh-CN"/>
        </w:rPr>
        <w:t>1.</w:t>
      </w:r>
      <w:r>
        <w:rPr>
          <w:rFonts w:hint="eastAsia" w:ascii="宋体" w:hAnsi="宋体" w:eastAsia="方正仿宋_GB2312" w:cs="方正仿宋_GB2312"/>
          <w:b/>
          <w:bCs/>
          <w:sz w:val="32"/>
          <w:szCs w:val="32"/>
          <w:lang w:val="en-US" w:eastAsia="zh-CN"/>
        </w:rPr>
        <w:t>做细“一朵云”。</w:t>
      </w:r>
      <w:r>
        <w:rPr>
          <w:rFonts w:hint="eastAsia" w:ascii="宋体" w:hAnsi="宋体" w:eastAsia="方正仿宋_GB2312" w:cs="方正仿宋_GB2312"/>
          <w:b w:val="0"/>
          <w:bCs w:val="0"/>
          <w:sz w:val="32"/>
          <w:szCs w:val="32"/>
          <w:lang w:val="en-US" w:eastAsia="zh-CN"/>
        </w:rPr>
        <w:t>根据省政务“一朵云”总体布局要求，抓好区级政务云资源摸底排查，初步完成对滨湖区政务云资源统计，总计982.2万元，包括存量项目10个，新增项目19个。开展区内政务云使用现状调研，为推进区级政务云资源的统一纳管做好准备工作，建好云资源调度平台的管理机制，进一步明确技术路径、管理体系、运营模式等，推动云服务商在资源管理和服务等方面高效协同，对接异构资源管理平台，实现政务云资源统一监控、统一管理和统一调度。</w:t>
      </w:r>
    </w:p>
    <w:p w14:paraId="30634EB0">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3" w:firstLineChars="200"/>
        <w:jc w:val="both"/>
        <w:textAlignment w:val="auto"/>
        <w:rPr>
          <w:rFonts w:hint="eastAsia" w:ascii="宋体" w:hAnsi="宋体" w:eastAsia="方正仿宋_GB2312" w:cs="方正仿宋_GB2312"/>
          <w:b w:val="0"/>
          <w:bCs w:val="0"/>
          <w:sz w:val="32"/>
          <w:szCs w:val="32"/>
          <w:lang w:val="en-US" w:eastAsia="zh-CN"/>
        </w:rPr>
      </w:pPr>
      <w:r>
        <w:rPr>
          <w:rFonts w:hint="eastAsia" w:ascii="宋体" w:hAnsi="宋体" w:eastAsia="方正仿宋_GB2312" w:cs="方正仿宋_GB2312"/>
          <w:b/>
          <w:bCs/>
          <w:sz w:val="32"/>
          <w:szCs w:val="32"/>
          <w:lang w:val="en-US" w:eastAsia="zh-CN"/>
        </w:rPr>
        <w:t>2.做精“两平台”。</w:t>
      </w:r>
      <w:r>
        <w:rPr>
          <w:rFonts w:hint="eastAsia" w:ascii="宋体" w:hAnsi="宋体" w:eastAsia="方正仿宋_GB2312" w:cs="方正仿宋_GB2312"/>
          <w:b w:val="0"/>
          <w:bCs w:val="0"/>
          <w:sz w:val="32"/>
          <w:szCs w:val="32"/>
          <w:lang w:val="en-US" w:eastAsia="zh-CN"/>
        </w:rPr>
        <w:t>扎实做好“锡企服务平台”日常运营，2024年激活企业用户数6299家，累计激活企业用户数29007家，占目标任务数45000家的64.46%，预计12月初实现全量激活。开展线下平台推广活动17次，惠及企业1607家，“锡企直播间”直播3场，参与直播人数23万人，取得了良好成效。推进高频事项一平台建设，全区7个镇（街道）已完成全部37项事项的认领、编制、扩展信息维护等工作，高频业务认领率达97.68%，实现全科政务服务覆盖率100%。</w:t>
      </w:r>
    </w:p>
    <w:p w14:paraId="6C62EFA0">
      <w:pPr>
        <w:numPr>
          <w:ilvl w:val="0"/>
          <w:numId w:val="0"/>
        </w:numPr>
        <w:tabs>
          <w:tab w:val="left" w:pos="540"/>
        </w:tabs>
        <w:spacing w:line="560" w:lineRule="exact"/>
        <w:ind w:firstLine="643" w:firstLineChars="200"/>
        <w:rPr>
          <w:rFonts w:hint="eastAsia" w:ascii="宋体" w:hAnsi="宋体" w:eastAsia="方正仿宋_GB2312" w:cs="方正仿宋_GB2312"/>
          <w:b w:val="0"/>
          <w:bCs w:val="0"/>
          <w:sz w:val="32"/>
          <w:szCs w:val="32"/>
          <w:lang w:val="en-US" w:eastAsia="zh-CN"/>
        </w:rPr>
      </w:pPr>
      <w:r>
        <w:rPr>
          <w:rFonts w:hint="eastAsia" w:ascii="宋体" w:hAnsi="宋体" w:eastAsia="方正仿宋_GB2312" w:cs="方正仿宋_GB2312"/>
          <w:b/>
          <w:bCs/>
          <w:sz w:val="32"/>
          <w:szCs w:val="32"/>
          <w:lang w:val="en-US" w:eastAsia="zh-CN"/>
        </w:rPr>
        <w:t>3.做优“三服务”。</w:t>
      </w:r>
      <w:r>
        <w:rPr>
          <w:rFonts w:hint="eastAsia" w:ascii="宋体" w:hAnsi="宋体" w:eastAsia="方正仿宋_GB2312" w:cs="方正仿宋_GB2312"/>
          <w:b w:val="0"/>
          <w:bCs w:val="0"/>
          <w:sz w:val="32"/>
          <w:szCs w:val="32"/>
          <w:lang w:val="en-US" w:eastAsia="zh-CN"/>
        </w:rPr>
        <w:t>深化“不见面审批”，实现全区企业全生命周期网办，企业开业、变更、注销、省内迁移、档案查询等全面实现网办，企业开办登记从5个工作日压缩为0.5个工作日，企业变更压缩为3个工作日，开业网办率95%，其他类50%，手机版电子执照下载率96%，</w:t>
      </w:r>
      <w:r>
        <w:rPr>
          <w:rFonts w:hint="eastAsia" w:ascii="宋体" w:hAnsi="宋体" w:eastAsia="方正仿宋_GB2312" w:cs="方正仿宋_GB2312"/>
          <w:color w:val="000000" w:themeColor="text1"/>
          <w:sz w:val="32"/>
          <w:szCs w:val="32"/>
          <w14:textFill>
            <w14:solidFill>
              <w14:schemeClr w14:val="tx1"/>
            </w14:solidFill>
          </w14:textFill>
        </w:rPr>
        <w:t>共办理电子化开业、变更、注销5</w:t>
      </w:r>
      <w:r>
        <w:rPr>
          <w:rFonts w:hint="eastAsia" w:ascii="宋体" w:hAnsi="宋体" w:eastAsia="方正仿宋_GB2312" w:cs="方正仿宋_GB2312"/>
          <w:color w:val="000000" w:themeColor="text1"/>
          <w:sz w:val="32"/>
          <w:szCs w:val="32"/>
          <w:lang w:val="en-US" w:eastAsia="zh-CN"/>
          <w14:textFill>
            <w14:solidFill>
              <w14:schemeClr w14:val="tx1"/>
            </w14:solidFill>
          </w14:textFill>
        </w:rPr>
        <w:t>918</w:t>
      </w:r>
      <w:r>
        <w:rPr>
          <w:rFonts w:hint="eastAsia" w:ascii="宋体" w:hAnsi="宋体" w:eastAsia="方正仿宋_GB2312" w:cs="方正仿宋_GB2312"/>
          <w:color w:val="000000" w:themeColor="text1"/>
          <w:sz w:val="32"/>
          <w:szCs w:val="32"/>
          <w14:textFill>
            <w14:solidFill>
              <w14:schemeClr w14:val="tx1"/>
            </w14:solidFill>
          </w14:textFill>
        </w:rPr>
        <w:t>件</w:t>
      </w:r>
      <w:r>
        <w:rPr>
          <w:rFonts w:hint="eastAsia" w:ascii="宋体" w:hAnsi="宋体" w:eastAsia="方正仿宋_GB2312" w:cs="方正仿宋_GB2312"/>
          <w:color w:val="000000" w:themeColor="text1"/>
          <w:sz w:val="32"/>
          <w:szCs w:val="32"/>
          <w:lang w:eastAsia="zh-CN"/>
          <w14:textFill>
            <w14:solidFill>
              <w14:schemeClr w14:val="tx1"/>
            </w14:solidFill>
          </w14:textFill>
        </w:rPr>
        <w:t>，</w:t>
      </w:r>
      <w:r>
        <w:rPr>
          <w:rFonts w:hint="eastAsia" w:ascii="宋体" w:hAnsi="宋体" w:eastAsia="方正仿宋_GB2312" w:cs="方正仿宋_GB2312"/>
          <w:color w:val="000000" w:themeColor="text1"/>
          <w:sz w:val="32"/>
          <w:szCs w:val="32"/>
          <w:lang w:val="en-US" w:eastAsia="zh-CN"/>
          <w14:textFill>
            <w14:solidFill>
              <w14:schemeClr w14:val="tx1"/>
            </w14:solidFill>
          </w14:textFill>
        </w:rPr>
        <w:t>网上迁移1711家，</w:t>
      </w:r>
      <w:r>
        <w:rPr>
          <w:rFonts w:hint="eastAsia" w:ascii="宋体" w:hAnsi="宋体" w:eastAsia="方正仿宋_GB2312" w:cs="方正仿宋_GB2312"/>
          <w:b w:val="0"/>
          <w:bCs w:val="0"/>
          <w:sz w:val="32"/>
          <w:szCs w:val="32"/>
          <w:lang w:val="en-US" w:eastAsia="zh-CN"/>
        </w:rPr>
        <w:t>有效解决企业办事“往返跑”问题。加速推进网上中介超市，提高我区中介超市实效性，全区共入驻中介服务机构108家，发布采购公告69条，中选公告43条。</w:t>
      </w:r>
      <w:r>
        <w:rPr>
          <w:rFonts w:hint="eastAsia" w:ascii="宋体" w:hAnsi="宋体" w:eastAsia="方正仿宋_GB2312" w:cs="方正仿宋_GB2312"/>
          <w:sz w:val="32"/>
          <w:szCs w:val="32"/>
          <w:lang w:val="en-US" w:eastAsia="zh-CN"/>
        </w:rPr>
        <w:t>持续拓展电子证照、电子印章、电子签名等应用场景，实现区卫健委及部分街道社区卫生服务中心关于公共场所卫生许可证、医生、护士执业资格证等事项的电子印章调用。</w:t>
      </w:r>
    </w:p>
    <w:p w14:paraId="5E9443CB">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jc w:val="both"/>
        <w:textAlignment w:val="auto"/>
        <w:rPr>
          <w:rFonts w:hint="eastAsia" w:ascii="宋体" w:hAnsi="宋体" w:eastAsia="方正楷体_GBK"/>
          <w:sz w:val="32"/>
          <w:szCs w:val="32"/>
          <w:lang w:val="en-US" w:eastAsia="zh-CN"/>
        </w:rPr>
      </w:pPr>
      <w:r>
        <w:rPr>
          <w:rFonts w:hint="eastAsia" w:ascii="宋体" w:hAnsi="宋体" w:eastAsia="方正楷体_GBK"/>
          <w:sz w:val="32"/>
          <w:szCs w:val="32"/>
          <w:lang w:val="en-US" w:eastAsia="zh-CN"/>
        </w:rPr>
        <w:t>（五）念好“畅”字诀，“一体建设”效能持续释放</w:t>
      </w:r>
    </w:p>
    <w:p w14:paraId="065D6738">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3" w:firstLineChars="200"/>
        <w:jc w:val="both"/>
        <w:textAlignment w:val="auto"/>
        <w:rPr>
          <w:rFonts w:hint="eastAsia" w:ascii="宋体" w:hAnsi="宋体" w:eastAsia="方正仿宋_GB2312" w:cs="方正仿宋_GB2312"/>
          <w:sz w:val="32"/>
          <w:szCs w:val="32"/>
          <w:lang w:val="en-US" w:eastAsia="zh-CN"/>
        </w:rPr>
      </w:pPr>
      <w:r>
        <w:rPr>
          <w:rFonts w:hint="eastAsia" w:ascii="宋体" w:hAnsi="宋体" w:eastAsia="方正楷体_GBK"/>
          <w:b/>
          <w:bCs/>
          <w:sz w:val="32"/>
          <w:szCs w:val="32"/>
          <w:lang w:val="en-US" w:eastAsia="zh-CN"/>
        </w:rPr>
        <w:t>1.</w:t>
      </w:r>
      <w:r>
        <w:rPr>
          <w:rFonts w:hint="eastAsia" w:ascii="宋体" w:hAnsi="宋体" w:eastAsia="方正仿宋_GB2312" w:cs="方正仿宋_GB2312"/>
          <w:b/>
          <w:bCs/>
          <w:sz w:val="32"/>
          <w:szCs w:val="32"/>
          <w:lang w:val="en-US" w:eastAsia="zh-CN"/>
        </w:rPr>
        <w:t>推进政务服务标准化。</w:t>
      </w:r>
      <w:r>
        <w:rPr>
          <w:rFonts w:hint="eastAsia" w:ascii="宋体" w:hAnsi="宋体" w:eastAsia="方正仿宋_GB2312" w:cs="方正仿宋_GB2312"/>
          <w:sz w:val="32"/>
          <w:szCs w:val="32"/>
          <w:lang w:val="en-US" w:eastAsia="zh-CN"/>
        </w:rPr>
        <w:t>对全区镇（街道）、村（社区）公共服务事项情况进行全面梳理统计，指导镇、村两级做好事项认领和办事指南编制夯实基础。根据国家一体化政务服务平台对办事指南的最新质检要求，通过省政务服务事项管理系统，定期检查我区“数据质检报表”，发现数据质检问题及时督促有关部门修改并完善，有效推进公共服务事项实施清单标准化。</w:t>
      </w:r>
    </w:p>
    <w:p w14:paraId="6C83B4CA">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3" w:firstLineChars="200"/>
        <w:jc w:val="both"/>
        <w:textAlignment w:val="auto"/>
        <w:rPr>
          <w:rFonts w:hint="eastAsia" w:ascii="宋体" w:hAnsi="宋体" w:eastAsia="方正仿宋_GBK"/>
          <w:sz w:val="32"/>
          <w:szCs w:val="32"/>
          <w:lang w:val="en-US" w:eastAsia="zh-CN"/>
        </w:rPr>
      </w:pPr>
      <w:r>
        <w:rPr>
          <w:rFonts w:hint="eastAsia" w:ascii="宋体" w:hAnsi="宋体" w:eastAsia="方正楷体_GBK"/>
          <w:b/>
          <w:bCs/>
          <w:sz w:val="32"/>
          <w:szCs w:val="32"/>
          <w:lang w:val="en-US" w:eastAsia="zh-CN"/>
        </w:rPr>
        <w:t>2.</w:t>
      </w:r>
      <w:r>
        <w:rPr>
          <w:rFonts w:hint="eastAsia" w:ascii="宋体" w:hAnsi="宋体" w:eastAsia="方正仿宋_GB2312" w:cs="方正仿宋_GB2312"/>
          <w:b/>
          <w:bCs/>
          <w:sz w:val="32"/>
          <w:szCs w:val="32"/>
          <w:lang w:val="en-US" w:eastAsia="zh-CN"/>
        </w:rPr>
        <w:t>推进政务服务</w:t>
      </w:r>
      <w:r>
        <w:rPr>
          <w:rFonts w:hint="eastAsia" w:ascii="宋体" w:hAnsi="宋体" w:eastAsia="方正仿宋_GB2312" w:cs="方正仿宋_GB2312"/>
          <w:b/>
          <w:sz w:val="32"/>
          <w:szCs w:val="32"/>
        </w:rPr>
        <w:t>规范化</w:t>
      </w:r>
      <w:r>
        <w:rPr>
          <w:rFonts w:hint="eastAsia" w:ascii="宋体" w:hAnsi="宋体" w:eastAsia="方正仿宋_GB2312" w:cs="方正仿宋_GB2312"/>
          <w:b/>
          <w:bCs/>
          <w:sz w:val="32"/>
          <w:szCs w:val="32"/>
          <w:lang w:val="en-US" w:eastAsia="zh-CN"/>
        </w:rPr>
        <w:t>。</w:t>
      </w:r>
      <w:r>
        <w:rPr>
          <w:rFonts w:hint="eastAsia" w:ascii="宋体" w:hAnsi="宋体" w:eastAsia="方正仿宋_GB2312" w:cs="方正仿宋_GB2312"/>
          <w:sz w:val="32"/>
          <w:szCs w:val="32"/>
        </w:rPr>
        <w:t>全面落实政务服务“好差评”制度，推动“好差评”向村（社区）便民服务站延伸，持续提升“好差评”的评价率、覆盖率和差评整改率。好差评办件评价共3</w:t>
      </w:r>
      <w:r>
        <w:rPr>
          <w:rFonts w:hint="eastAsia" w:ascii="宋体" w:hAnsi="宋体" w:eastAsia="方正仿宋_GB2312" w:cs="方正仿宋_GB2312"/>
          <w:sz w:val="32"/>
          <w:szCs w:val="32"/>
          <w:lang w:val="en-US" w:eastAsia="zh-CN"/>
        </w:rPr>
        <w:t>5</w:t>
      </w:r>
      <w:r>
        <w:rPr>
          <w:rFonts w:hint="eastAsia" w:ascii="宋体" w:hAnsi="宋体" w:eastAsia="方正仿宋_GB2312" w:cs="方正仿宋_GB2312"/>
          <w:sz w:val="32"/>
          <w:szCs w:val="32"/>
        </w:rPr>
        <w:t>万余件，差评整改满意率100%。深化基层全科服务模式，</w:t>
      </w:r>
      <w:r>
        <w:rPr>
          <w:rFonts w:hint="eastAsia" w:ascii="宋体" w:hAnsi="宋体" w:eastAsia="方正仿宋_GB2312" w:cs="方正仿宋_GB2312"/>
          <w:sz w:val="32"/>
          <w:szCs w:val="32"/>
          <w:lang w:eastAsia="zh-CN"/>
        </w:rPr>
        <w:t>梳理镇（街道）帮代办事项541项，基层帮办、代办实现1分钟内响应，代办解决率达90%。</w:t>
      </w:r>
      <w:r>
        <w:rPr>
          <w:rFonts w:hint="eastAsia" w:ascii="宋体" w:hAnsi="宋体" w:eastAsia="方正仿宋_GB2312" w:cs="方正仿宋_GB2312"/>
          <w:sz w:val="32"/>
          <w:szCs w:val="32"/>
        </w:rPr>
        <w:t>推动窗口人员职业化发展</w:t>
      </w:r>
      <w:r>
        <w:rPr>
          <w:rFonts w:hint="eastAsia" w:ascii="宋体" w:hAnsi="宋体" w:eastAsia="方正仿宋_GB2312" w:cs="方正仿宋_GB2312"/>
          <w:sz w:val="32"/>
          <w:szCs w:val="32"/>
          <w:lang w:eastAsia="zh-CN"/>
        </w:rPr>
        <w:t>，</w:t>
      </w:r>
      <w:r>
        <w:rPr>
          <w:rFonts w:hint="eastAsia" w:ascii="宋体" w:hAnsi="宋体" w:eastAsia="方正仿宋_GB2312" w:cs="方正仿宋_GB2312"/>
          <w:sz w:val="32"/>
          <w:szCs w:val="32"/>
          <w:lang w:val="en-US" w:eastAsia="zh-CN"/>
        </w:rPr>
        <w:t>全区办事员职业技能等级五级持证率超90%，四级持证率超50%。</w:t>
      </w:r>
    </w:p>
    <w:p w14:paraId="2B53696D">
      <w:pPr>
        <w:keepNext w:val="0"/>
        <w:keepLines w:val="0"/>
        <w:pageBreakBefore w:val="0"/>
        <w:kinsoku/>
        <w:wordWrap/>
        <w:overflowPunct/>
        <w:topLinePunct w:val="0"/>
        <w:bidi w:val="0"/>
        <w:adjustRightInd/>
        <w:snapToGrid/>
        <w:spacing w:line="592" w:lineRule="exact"/>
        <w:ind w:firstLine="643" w:firstLineChars="200"/>
        <w:textAlignment w:val="auto"/>
        <w:rPr>
          <w:rFonts w:hint="eastAsia" w:ascii="宋体" w:hAnsi="宋体" w:eastAsia="方正仿宋_GB2312" w:cs="方正仿宋_GB2312"/>
          <w:sz w:val="32"/>
          <w:szCs w:val="32"/>
          <w:lang w:val="en-US" w:eastAsia="zh-CN"/>
        </w:rPr>
      </w:pPr>
      <w:r>
        <w:rPr>
          <w:rFonts w:hint="eastAsia" w:ascii="宋体" w:hAnsi="宋体" w:eastAsia="方正仿宋_GBK"/>
          <w:b/>
          <w:bCs/>
          <w:sz w:val="32"/>
          <w:szCs w:val="32"/>
          <w:lang w:val="en-US" w:eastAsia="zh-CN"/>
        </w:rPr>
        <w:t>3.</w:t>
      </w:r>
      <w:r>
        <w:rPr>
          <w:rFonts w:hint="eastAsia" w:ascii="宋体" w:hAnsi="宋体" w:eastAsia="方正仿宋_GB2312" w:cs="方正仿宋_GB2312"/>
          <w:b/>
          <w:bCs/>
          <w:sz w:val="32"/>
          <w:szCs w:val="32"/>
          <w:lang w:val="en-US" w:eastAsia="zh-CN"/>
        </w:rPr>
        <w:t>推进政务服务便利化。</w:t>
      </w:r>
      <w:r>
        <w:rPr>
          <w:rFonts w:hint="eastAsia" w:ascii="宋体" w:hAnsi="宋体" w:eastAsia="方正仿宋_GB2312" w:cs="方正仿宋_GB2312"/>
          <w:sz w:val="32"/>
          <w:szCs w:val="32"/>
        </w:rPr>
        <w:t>建成融驿站6个，24小时便民服务点1</w:t>
      </w:r>
      <w:r>
        <w:rPr>
          <w:rFonts w:hint="eastAsia" w:ascii="宋体" w:hAnsi="宋体" w:eastAsia="方正仿宋_GB2312" w:cs="方正仿宋_GB2312"/>
          <w:sz w:val="32"/>
          <w:szCs w:val="32"/>
          <w:lang w:val="en-US" w:eastAsia="zh-CN"/>
        </w:rPr>
        <w:t>3</w:t>
      </w:r>
      <w:r>
        <w:rPr>
          <w:rFonts w:hint="eastAsia" w:ascii="宋体" w:hAnsi="宋体" w:eastAsia="方正仿宋_GB2312" w:cs="方正仿宋_GB2312"/>
          <w:sz w:val="32"/>
          <w:szCs w:val="32"/>
        </w:rPr>
        <w:t>个，</w:t>
      </w:r>
      <w:r>
        <w:rPr>
          <w:rFonts w:hint="eastAsia" w:ascii="宋体" w:hAnsi="宋体" w:eastAsia="方正仿宋_GB2312" w:cs="方正仿宋_GB2312"/>
          <w:b w:val="0"/>
          <w:bCs w:val="0"/>
          <w:sz w:val="32"/>
          <w:szCs w:val="32"/>
          <w:lang w:val="en-US" w:eastAsia="zh-CN"/>
        </w:rPr>
        <w:t>做好</w:t>
      </w:r>
      <w:r>
        <w:rPr>
          <w:rFonts w:hint="eastAsia" w:ascii="宋体" w:hAnsi="宋体" w:eastAsia="方正仿宋_GB2312" w:cs="方正仿宋_GB2312"/>
          <w:sz w:val="32"/>
          <w:szCs w:val="32"/>
        </w:rPr>
        <w:t>24小时自助服务示范村（社区）便民服务点建设工作。</w:t>
      </w:r>
      <w:r>
        <w:rPr>
          <w:rFonts w:hint="eastAsia" w:ascii="宋体" w:hAnsi="宋体" w:eastAsia="方正仿宋_GB2312" w:cs="方正仿宋_GB2312"/>
          <w:sz w:val="32"/>
          <w:szCs w:val="32"/>
          <w:lang w:val="en-US" w:eastAsia="zh-CN"/>
        </w:rPr>
        <w:t>持续推进与长三角城市的对接沟通，通过“长三角一网通办”虚拟窗口实现与上海静安区、长宁区政务服务的互联互通，完成首例业务异地办理，</w:t>
      </w:r>
      <w:r>
        <w:rPr>
          <w:rFonts w:hint="eastAsia" w:ascii="宋体" w:hAnsi="宋体" w:eastAsia="方正仿宋_GB2312" w:cs="方正仿宋_GB2312"/>
          <w:sz w:val="32"/>
          <w:szCs w:val="32"/>
        </w:rPr>
        <w:t>为企业和群众提供触手可及的“就近办”。抓好“15分钟医保服务圈”示范点常态化运行，巩固村（社区）医保公共服务点建设成效，提升医保经办人员业务水平，督促各板块加大医保政策宣传力度，切实提高政策知晓率，为提供高质量的医保公共服务夯实基础。</w:t>
      </w:r>
    </w:p>
    <w:p w14:paraId="1AB6066F">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jc w:val="both"/>
        <w:textAlignment w:val="auto"/>
        <w:rPr>
          <w:rFonts w:hint="eastAsia" w:ascii="宋体" w:hAnsi="宋体" w:eastAsia="方正楷体_GBK"/>
          <w:sz w:val="32"/>
          <w:szCs w:val="32"/>
          <w:lang w:val="en-US" w:eastAsia="zh-CN"/>
        </w:rPr>
      </w:pPr>
      <w:r>
        <w:rPr>
          <w:rFonts w:hint="eastAsia" w:ascii="宋体" w:hAnsi="宋体" w:eastAsia="方正楷体_GBK"/>
          <w:sz w:val="32"/>
          <w:szCs w:val="32"/>
          <w:lang w:val="en-US" w:eastAsia="zh-CN"/>
        </w:rPr>
        <w:t>（六）念好“优”字诀，“一次办</w:t>
      </w:r>
      <w:r>
        <w:rPr>
          <w:rFonts w:hint="eastAsia" w:ascii="宋体" w:hAnsi="宋体" w:eastAsia="方正楷体_GBK"/>
          <w:sz w:val="30"/>
          <w:szCs w:val="30"/>
          <w:lang w:val="en-US" w:eastAsia="zh-CN"/>
        </w:rPr>
        <w:t>好</w:t>
      </w:r>
      <w:r>
        <w:rPr>
          <w:rFonts w:hint="eastAsia" w:ascii="宋体" w:hAnsi="宋体" w:eastAsia="方正楷体_GBK"/>
          <w:sz w:val="32"/>
          <w:szCs w:val="32"/>
          <w:lang w:val="en-US" w:eastAsia="zh-CN"/>
        </w:rPr>
        <w:t>”体验持续增强</w:t>
      </w:r>
    </w:p>
    <w:p w14:paraId="5D8D296A">
      <w:pPr>
        <w:keepNext w:val="0"/>
        <w:keepLines w:val="0"/>
        <w:pageBreakBefore w:val="0"/>
        <w:kinsoku/>
        <w:wordWrap/>
        <w:overflowPunct/>
        <w:topLinePunct w:val="0"/>
        <w:bidi w:val="0"/>
        <w:adjustRightInd/>
        <w:snapToGrid/>
        <w:spacing w:line="592" w:lineRule="exact"/>
        <w:ind w:firstLine="643" w:firstLineChars="200"/>
        <w:textAlignment w:val="auto"/>
        <w:rPr>
          <w:rFonts w:hint="eastAsia" w:ascii="宋体" w:hAnsi="宋体" w:eastAsia="方正仿宋_GB2312" w:cs="方正仿宋_GB2312"/>
          <w:sz w:val="32"/>
          <w:szCs w:val="32"/>
        </w:rPr>
      </w:pPr>
      <w:r>
        <w:rPr>
          <w:rFonts w:hint="eastAsia" w:ascii="宋体" w:hAnsi="宋体" w:eastAsia="方正仿宋_GB2312" w:cs="方正仿宋_GB2312"/>
          <w:b/>
          <w:bCs/>
          <w:sz w:val="32"/>
          <w:szCs w:val="32"/>
          <w:lang w:val="en-US" w:eastAsia="zh-CN"/>
        </w:rPr>
        <w:t>1.</w:t>
      </w:r>
      <w:r>
        <w:rPr>
          <w:rFonts w:hint="eastAsia" w:ascii="宋体" w:hAnsi="宋体" w:eastAsia="方正仿宋_GB2312" w:cs="方正仿宋_GB2312"/>
          <w:b/>
          <w:bCs/>
          <w:sz w:val="32"/>
          <w:szCs w:val="32"/>
        </w:rPr>
        <w:t>推动“高效办成一件事”。</w:t>
      </w:r>
      <w:r>
        <w:rPr>
          <w:rFonts w:hint="eastAsia" w:ascii="宋体" w:hAnsi="宋体" w:eastAsia="方正仿宋_GB2312" w:cs="方正仿宋_GB2312"/>
          <w:sz w:val="32"/>
          <w:szCs w:val="32"/>
        </w:rPr>
        <w:t>将国家部署的21个及省级</w:t>
      </w:r>
      <w:r>
        <w:rPr>
          <w:rFonts w:hint="eastAsia" w:ascii="宋体" w:hAnsi="宋体" w:eastAsia="方正仿宋_GB2312" w:cs="方正仿宋_GB2312"/>
          <w:sz w:val="32"/>
          <w:szCs w:val="32"/>
          <w:highlight w:val="none"/>
        </w:rPr>
        <w:t>部署的8个重点事项纳入线下“高效办成一件事”服务专窗，明确“一件事”办理事项，提供</w:t>
      </w:r>
      <w:r>
        <w:rPr>
          <w:rFonts w:hint="eastAsia" w:ascii="宋体" w:hAnsi="宋体" w:eastAsia="方正仿宋_GB2312" w:cs="方正仿宋_GB2312"/>
          <w:sz w:val="32"/>
          <w:szCs w:val="32"/>
        </w:rPr>
        <w:t>一件事集成服务。广泛宣传“一件事一次办”改革成效，切实造浓宣传氛围</w:t>
      </w:r>
      <w:r>
        <w:rPr>
          <w:rFonts w:hint="eastAsia" w:ascii="宋体" w:hAnsi="宋体" w:eastAsia="方正仿宋_GB2312" w:cs="方正仿宋_GB2312"/>
          <w:sz w:val="32"/>
          <w:szCs w:val="32"/>
          <w:lang w:eastAsia="zh-CN"/>
        </w:rPr>
        <w:t>，</w:t>
      </w:r>
      <w:r>
        <w:rPr>
          <w:rFonts w:hint="eastAsia" w:ascii="宋体" w:hAnsi="宋体" w:eastAsia="方正仿宋_GB2312" w:cs="方正仿宋_GB2312"/>
          <w:sz w:val="32"/>
          <w:szCs w:val="32"/>
        </w:rPr>
        <w:t>加强对窗口工作人员的宣传以及业务指导，提高办事群众对“一件事一次办”的知晓度，引导传统办件向“一件事一次办”转变，推动“一件事一次办”占比率和办结率不断提升。</w:t>
      </w:r>
      <w:r>
        <w:rPr>
          <w:rFonts w:hint="eastAsia" w:ascii="宋体" w:hAnsi="宋体" w:eastAsia="方正仿宋_GB2312" w:cs="方正仿宋_GB2312"/>
          <w:sz w:val="32"/>
          <w:szCs w:val="32"/>
          <w:lang w:eastAsia="zh-CN"/>
        </w:rPr>
        <w:t>截至</w:t>
      </w:r>
      <w:r>
        <w:rPr>
          <w:rFonts w:hint="eastAsia" w:ascii="宋体" w:hAnsi="宋体" w:eastAsia="方正仿宋_GB2312" w:cs="方正仿宋_GB2312"/>
          <w:sz w:val="32"/>
          <w:szCs w:val="32"/>
          <w:lang w:val="en-US" w:eastAsia="zh-CN"/>
        </w:rPr>
        <w:t>目前</w:t>
      </w:r>
      <w:r>
        <w:rPr>
          <w:rFonts w:hint="eastAsia" w:ascii="宋体" w:hAnsi="宋体" w:eastAsia="方正仿宋_GB2312" w:cs="方正仿宋_GB2312"/>
          <w:sz w:val="32"/>
          <w:szCs w:val="32"/>
        </w:rPr>
        <w:t>，就业登记、军人退役、结婚等“一件事”办件量均列全市</w:t>
      </w:r>
      <w:r>
        <w:rPr>
          <w:rFonts w:hint="eastAsia" w:ascii="宋体" w:hAnsi="宋体" w:eastAsia="方正仿宋_GB2312" w:cs="方正仿宋_GB2312"/>
          <w:sz w:val="32"/>
          <w:szCs w:val="32"/>
          <w:lang w:val="en-US" w:eastAsia="zh-CN"/>
        </w:rPr>
        <w:t>第一</w:t>
      </w:r>
      <w:r>
        <w:rPr>
          <w:rFonts w:hint="eastAsia" w:ascii="宋体" w:hAnsi="宋体" w:eastAsia="方正仿宋_GB2312" w:cs="方正仿宋_GB2312"/>
          <w:sz w:val="32"/>
          <w:szCs w:val="32"/>
        </w:rPr>
        <w:t>。</w:t>
      </w:r>
    </w:p>
    <w:p w14:paraId="320F44EF">
      <w:pPr>
        <w:keepNext w:val="0"/>
        <w:keepLines w:val="0"/>
        <w:pageBreakBefore w:val="0"/>
        <w:kinsoku/>
        <w:wordWrap/>
        <w:overflowPunct/>
        <w:topLinePunct w:val="0"/>
        <w:bidi w:val="0"/>
        <w:adjustRightInd/>
        <w:snapToGrid/>
        <w:spacing w:line="592" w:lineRule="exact"/>
        <w:ind w:firstLine="643" w:firstLineChars="200"/>
        <w:textAlignment w:val="auto"/>
        <w:rPr>
          <w:rFonts w:hint="eastAsia" w:ascii="宋体" w:hAnsi="宋体" w:eastAsia="方正仿宋_GB2312" w:cs="方正仿宋_GB2312"/>
          <w:sz w:val="32"/>
          <w:szCs w:val="32"/>
          <w:lang w:val="en-US" w:eastAsia="zh-CN"/>
        </w:rPr>
      </w:pPr>
      <w:r>
        <w:rPr>
          <w:rFonts w:hint="eastAsia" w:ascii="宋体" w:hAnsi="宋体" w:eastAsia="方正仿宋_GBK"/>
          <w:b/>
          <w:bCs/>
          <w:sz w:val="32"/>
          <w:szCs w:val="32"/>
        </w:rPr>
        <w:t>2.</w:t>
      </w:r>
      <w:r>
        <w:rPr>
          <w:rFonts w:hint="eastAsia" w:ascii="宋体" w:hAnsi="宋体" w:eastAsia="方正仿宋_GB2312" w:cs="方正仿宋_GB2312"/>
          <w:b/>
          <w:bCs/>
          <w:sz w:val="32"/>
          <w:szCs w:val="32"/>
        </w:rPr>
        <w:t>优化企业开办审批。</w:t>
      </w:r>
      <w:r>
        <w:rPr>
          <w:rFonts w:hint="eastAsia" w:ascii="宋体" w:hAnsi="宋体" w:eastAsia="方正仿宋_GB2312" w:cs="方正仿宋_GB2312"/>
          <w:sz w:val="32"/>
          <w:szCs w:val="32"/>
        </w:rPr>
        <w:t>全面落实企业开办“一次办</w:t>
      </w:r>
      <w:r>
        <w:rPr>
          <w:rFonts w:hint="eastAsia" w:ascii="宋体" w:hAnsi="宋体" w:eastAsia="方正仿宋_GB2312" w:cs="方正仿宋_GB2312"/>
          <w:sz w:val="32"/>
          <w:szCs w:val="32"/>
          <w:lang w:eastAsia="zh-CN"/>
        </w:rPr>
        <w:t>”“</w:t>
      </w:r>
      <w:r>
        <w:rPr>
          <w:rFonts w:hint="eastAsia" w:ascii="宋体" w:hAnsi="宋体" w:eastAsia="方正仿宋_GB2312" w:cs="方正仿宋_GB2312"/>
          <w:sz w:val="32"/>
          <w:szCs w:val="32"/>
        </w:rPr>
        <w:t>零费用”“0.5日办结”的服务模式</w:t>
      </w:r>
      <w:r>
        <w:rPr>
          <w:rFonts w:hint="eastAsia" w:ascii="宋体" w:hAnsi="宋体" w:eastAsia="方正仿宋_GB2312" w:cs="方正仿宋_GB2312"/>
          <w:sz w:val="32"/>
          <w:szCs w:val="32"/>
          <w:lang w:eastAsia="zh-CN"/>
        </w:rPr>
        <w:t>，</w:t>
      </w:r>
      <w:r>
        <w:rPr>
          <w:rFonts w:hint="eastAsia" w:ascii="宋体" w:hAnsi="宋体" w:eastAsia="方正仿宋_GB2312" w:cs="方正仿宋_GB2312"/>
          <w:sz w:val="32"/>
          <w:szCs w:val="32"/>
          <w:lang w:val="en-US" w:eastAsia="zh-CN"/>
        </w:rPr>
        <w:t>今年以来</w:t>
      </w:r>
      <w:r>
        <w:rPr>
          <w:rFonts w:hint="eastAsia" w:ascii="宋体" w:hAnsi="宋体" w:eastAsia="方正仿宋_GB2312" w:cs="方正仿宋_GB2312"/>
          <w:sz w:val="32"/>
          <w:szCs w:val="32"/>
        </w:rPr>
        <w:t>，已为</w:t>
      </w:r>
      <w:r>
        <w:rPr>
          <w:rFonts w:hint="eastAsia" w:ascii="宋体" w:hAnsi="宋体" w:eastAsia="方正仿宋_GB2312" w:cs="方正仿宋_GB2312"/>
          <w:sz w:val="32"/>
          <w:szCs w:val="32"/>
          <w:lang w:val="en-US" w:eastAsia="zh-CN"/>
        </w:rPr>
        <w:t>4423</w:t>
      </w:r>
      <w:r>
        <w:rPr>
          <w:rFonts w:hint="eastAsia" w:ascii="宋体" w:hAnsi="宋体" w:eastAsia="方正仿宋_GB2312" w:cs="方正仿宋_GB2312"/>
          <w:sz w:val="32"/>
          <w:szCs w:val="32"/>
        </w:rPr>
        <w:t>家新设立企业提供免费刻章服务，为</w:t>
      </w:r>
      <w:r>
        <w:rPr>
          <w:rFonts w:hint="eastAsia" w:ascii="宋体" w:hAnsi="宋体" w:eastAsia="方正仿宋_GB2312" w:cs="方正仿宋_GB2312"/>
          <w:sz w:val="32"/>
          <w:szCs w:val="32"/>
          <w:lang w:val="en-US" w:eastAsia="zh-CN"/>
        </w:rPr>
        <w:t>70</w:t>
      </w:r>
      <w:r>
        <w:rPr>
          <w:rFonts w:hint="eastAsia" w:ascii="宋体" w:hAnsi="宋体" w:eastAsia="方正仿宋_GB2312" w:cs="方正仿宋_GB2312"/>
          <w:sz w:val="32"/>
          <w:szCs w:val="32"/>
        </w:rPr>
        <w:t>余家企业提供邮寄执照、通知书服务</w:t>
      </w:r>
      <w:r>
        <w:rPr>
          <w:rFonts w:hint="eastAsia" w:ascii="宋体" w:hAnsi="宋体" w:eastAsia="方正仿宋_GB2312" w:cs="方正仿宋_GB2312"/>
          <w:sz w:val="32"/>
          <w:szCs w:val="32"/>
          <w:lang w:eastAsia="zh-CN"/>
        </w:rPr>
        <w:t>。</w:t>
      </w:r>
      <w:r>
        <w:rPr>
          <w:rFonts w:hint="eastAsia" w:ascii="宋体" w:hAnsi="宋体" w:eastAsia="方正仿宋_GB2312" w:cs="方正仿宋_GB2312"/>
          <w:sz w:val="32"/>
          <w:szCs w:val="32"/>
        </w:rPr>
        <w:t>高效推进“个转企”登记，开通4个登记专窗，积极扶持个体户转型升级为企业，办理“个转企”登记</w:t>
      </w:r>
      <w:r>
        <w:rPr>
          <w:rFonts w:hint="eastAsia" w:ascii="宋体" w:hAnsi="宋体" w:eastAsia="方正仿宋_GB2312" w:cs="方正仿宋_GB2312"/>
          <w:sz w:val="32"/>
          <w:szCs w:val="32"/>
          <w:lang w:val="en-US" w:eastAsia="zh-CN"/>
        </w:rPr>
        <w:t>25</w:t>
      </w:r>
      <w:r>
        <w:rPr>
          <w:rFonts w:hint="eastAsia" w:ascii="宋体" w:hAnsi="宋体" w:eastAsia="方正仿宋_GB2312" w:cs="方正仿宋_GB2312"/>
          <w:sz w:val="32"/>
          <w:szCs w:val="32"/>
        </w:rPr>
        <w:t>家。在实行“一照多址”“一址多照”等基础上，以江大科技园为托管机构，</w:t>
      </w:r>
      <w:r>
        <w:rPr>
          <w:rFonts w:hint="eastAsia" w:ascii="宋体" w:hAnsi="宋体" w:eastAsia="方正仿宋_GB2312" w:cs="方正仿宋_GB2312"/>
          <w:sz w:val="32"/>
          <w:szCs w:val="32"/>
          <w:lang w:val="en-US" w:eastAsia="zh-CN"/>
        </w:rPr>
        <w:t>探索</w:t>
      </w:r>
      <w:r>
        <w:rPr>
          <w:rFonts w:hint="eastAsia" w:ascii="宋体" w:hAnsi="宋体" w:eastAsia="方正仿宋_GB2312" w:cs="方正仿宋_GB2312"/>
          <w:sz w:val="32"/>
          <w:szCs w:val="32"/>
        </w:rPr>
        <w:t>开展企业集群登记模式。</w:t>
      </w:r>
      <w:r>
        <w:rPr>
          <w:rFonts w:hint="eastAsia" w:ascii="宋体" w:hAnsi="宋体" w:eastAsia="方正仿宋_GB2312" w:cs="方正仿宋_GB2312"/>
          <w:sz w:val="32"/>
          <w:szCs w:val="32"/>
          <w:lang w:val="en-US" w:eastAsia="zh-CN"/>
        </w:rPr>
        <w:t xml:space="preserve">按照提前指导、集中办理、统一发照的方式，为江苏罗森便利超市有限公司、瑞幸咖啡（无锡）有限公司等40余家分支机构集中统一办理变更、注销登记。 </w:t>
      </w:r>
    </w:p>
    <w:p w14:paraId="608735D8">
      <w:pPr>
        <w:keepNext w:val="0"/>
        <w:keepLines w:val="0"/>
        <w:pageBreakBefore w:val="0"/>
        <w:kinsoku/>
        <w:wordWrap/>
        <w:overflowPunct/>
        <w:topLinePunct w:val="0"/>
        <w:bidi w:val="0"/>
        <w:adjustRightInd/>
        <w:snapToGrid/>
        <w:spacing w:line="592" w:lineRule="exact"/>
        <w:ind w:firstLine="643" w:firstLineChars="200"/>
        <w:textAlignment w:val="auto"/>
        <w:rPr>
          <w:rFonts w:hint="default" w:ascii="宋体" w:hAnsi="宋体" w:eastAsia="方正仿宋_GB2312" w:cs="方正仿宋_GB2312"/>
          <w:sz w:val="32"/>
          <w:szCs w:val="32"/>
          <w:lang w:val="en-US" w:eastAsia="zh-CN"/>
        </w:rPr>
      </w:pPr>
      <w:r>
        <w:rPr>
          <w:rFonts w:hint="eastAsia" w:ascii="宋体" w:hAnsi="宋体" w:eastAsia="方正仿宋_GBK"/>
          <w:b/>
          <w:bCs/>
          <w:sz w:val="32"/>
          <w:szCs w:val="32"/>
          <w:lang w:val="en-US" w:eastAsia="zh-CN"/>
        </w:rPr>
        <w:t>3.</w:t>
      </w:r>
      <w:r>
        <w:rPr>
          <w:rFonts w:hint="eastAsia" w:ascii="宋体" w:hAnsi="宋体" w:eastAsia="方正仿宋_GB2312" w:cs="方正仿宋_GB2312"/>
          <w:b/>
          <w:bCs/>
          <w:sz w:val="32"/>
          <w:szCs w:val="32"/>
          <w:lang w:val="en-US" w:eastAsia="zh-CN"/>
        </w:rPr>
        <w:t>加快工程项目审批。</w:t>
      </w:r>
      <w:r>
        <w:rPr>
          <w:rFonts w:hint="eastAsia" w:ascii="宋体" w:hAnsi="宋体" w:eastAsia="方正仿宋_GB2312" w:cs="方正仿宋_GB2312"/>
          <w:b w:val="0"/>
          <w:bCs w:val="0"/>
          <w:sz w:val="32"/>
          <w:szCs w:val="32"/>
          <w:lang w:val="en-US" w:eastAsia="zh-CN"/>
        </w:rPr>
        <w:t>全面梳理2024年重大项目推进情况，每月跟踪掌握并实时更新工改平台项目进度及专班服务情况，全程跟踪服务，协调解决难点、堵点问题，累计服务省市重大项目132次，完成2022—2023年度10亿元以上重大产业项目开工10个，开工率84%，2024年度重大项目开工37个，开工率88%。常态化实施“拿地即开工”“拿地快开工”，通过“容缺＋承诺+并联”的审批模式，强化帮办代办，组织专班保障审批事项“一次办结、一次办好”，华立聚能等3个项目实现“拿地即开工”，省锡中滨湖分校等5个项目实现“拿地快开工”。在区政务服务大厅设置服务网点，专人专窗受理水电气网联合报装业务，完成联合报装项目4个，完成量城区第二。</w:t>
      </w:r>
    </w:p>
    <w:p w14:paraId="7E1D61A6">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jc w:val="both"/>
        <w:textAlignment w:val="auto"/>
        <w:rPr>
          <w:rFonts w:hint="eastAsia" w:ascii="宋体" w:hAnsi="宋体" w:eastAsia="方正楷体_GBK"/>
          <w:sz w:val="32"/>
          <w:szCs w:val="32"/>
          <w:lang w:val="en-US" w:eastAsia="zh-CN"/>
        </w:rPr>
      </w:pPr>
      <w:r>
        <w:rPr>
          <w:rFonts w:hint="eastAsia" w:ascii="宋体" w:hAnsi="宋体" w:eastAsia="方正楷体_GBK"/>
          <w:sz w:val="32"/>
          <w:szCs w:val="32"/>
          <w:lang w:val="en-US" w:eastAsia="zh-CN"/>
        </w:rPr>
        <w:t>（七）念好“稳”字诀，群众诉求响应持续提升</w:t>
      </w:r>
    </w:p>
    <w:p w14:paraId="6C64E94B">
      <w:pPr>
        <w:keepNext w:val="0"/>
        <w:keepLines w:val="0"/>
        <w:pageBreakBefore w:val="0"/>
        <w:widowControl w:val="0"/>
        <w:kinsoku/>
        <w:wordWrap/>
        <w:overflowPunct/>
        <w:topLinePunct w:val="0"/>
        <w:autoSpaceDE/>
        <w:autoSpaceDN/>
        <w:bidi w:val="0"/>
        <w:adjustRightInd/>
        <w:snapToGrid/>
        <w:spacing w:line="592" w:lineRule="exact"/>
        <w:ind w:firstLine="643" w:firstLineChars="200"/>
        <w:textAlignment w:val="auto"/>
        <w:rPr>
          <w:rFonts w:hint="eastAsia" w:ascii="宋体" w:hAnsi="宋体" w:eastAsia="方正仿宋_GB2312" w:cs="方正仿宋_GB2312"/>
          <w:color w:val="auto"/>
          <w:sz w:val="32"/>
          <w:szCs w:val="32"/>
        </w:rPr>
      </w:pPr>
      <w:r>
        <w:rPr>
          <w:rFonts w:hint="eastAsia" w:ascii="宋体" w:hAnsi="宋体" w:eastAsia="方正楷体_GBK"/>
          <w:b/>
          <w:bCs/>
          <w:sz w:val="32"/>
          <w:szCs w:val="32"/>
          <w:lang w:val="en-US" w:eastAsia="zh-CN"/>
        </w:rPr>
        <w:t>1.</w:t>
      </w:r>
      <w:r>
        <w:rPr>
          <w:rFonts w:hint="eastAsia" w:ascii="宋体" w:hAnsi="宋体" w:eastAsia="方正仿宋_GB2312" w:cs="方正仿宋_GB2312"/>
          <w:b/>
          <w:bCs/>
          <w:sz w:val="32"/>
          <w:szCs w:val="32"/>
          <w:lang w:val="en-US" w:eastAsia="zh-CN"/>
        </w:rPr>
        <w:t>热线服务再提效。</w:t>
      </w:r>
      <w:r>
        <w:rPr>
          <w:rFonts w:hint="eastAsia" w:ascii="宋体" w:hAnsi="宋体" w:eastAsia="方正仿宋_GB2312" w:cs="方正仿宋_GB2312"/>
          <w:sz w:val="32"/>
          <w:szCs w:val="32"/>
          <w:lang w:val="en-US" w:eastAsia="zh-CN"/>
        </w:rPr>
        <w:t>从严从紧抓好工单办理工作，修订细化区12345热线管理评价办法，修改完善12345热线工单处置模板，对办件异常的成员单位进行提示预警，累计发出提醒函37份，受理各类诉求工单近6万件。</w:t>
      </w:r>
      <w:r>
        <w:rPr>
          <w:rFonts w:hint="eastAsia" w:ascii="宋体" w:hAnsi="宋体" w:eastAsia="方正仿宋_GB2312" w:cs="方正仿宋_GB2312"/>
          <w:sz w:val="32"/>
          <w:szCs w:val="32"/>
          <w:highlight w:val="none"/>
          <w:lang w:val="en-US" w:eastAsia="zh-CN"/>
        </w:rPr>
        <w:t>制发热线日报24份，热线专报6份，共获区委区政府领导批示14次。</w:t>
      </w:r>
      <w:r>
        <w:rPr>
          <w:rFonts w:hint="eastAsia" w:ascii="宋体" w:hAnsi="宋体" w:eastAsia="方正仿宋_GB2312" w:cs="方正仿宋_GB2312"/>
          <w:color w:val="auto"/>
          <w:kern w:val="2"/>
          <w:sz w:val="32"/>
          <w:szCs w:val="32"/>
          <w:lang w:val="en-US" w:eastAsia="zh-CN" w:bidi="ar-SA"/>
        </w:rPr>
        <w:t>创新性将“基层吹哨、部门报到”机制与“12345”热线处置机制相融合，该做法被《人民日报》点赞。</w:t>
      </w:r>
    </w:p>
    <w:p w14:paraId="7603CB1F">
      <w:pPr>
        <w:keepNext w:val="0"/>
        <w:keepLines w:val="0"/>
        <w:pageBreakBefore w:val="0"/>
        <w:widowControl w:val="0"/>
        <w:kinsoku/>
        <w:wordWrap/>
        <w:overflowPunct/>
        <w:topLinePunct w:val="0"/>
        <w:autoSpaceDE/>
        <w:autoSpaceDN/>
        <w:bidi w:val="0"/>
        <w:adjustRightInd/>
        <w:snapToGrid/>
        <w:spacing w:line="592" w:lineRule="exact"/>
        <w:ind w:firstLine="643" w:firstLineChars="200"/>
        <w:jc w:val="both"/>
        <w:textAlignment w:val="auto"/>
        <w:rPr>
          <w:rFonts w:hint="eastAsia" w:ascii="宋体" w:hAnsi="宋体" w:eastAsia="方正仿宋_GB2312" w:cs="方正仿宋_GB2312"/>
          <w:b w:val="0"/>
          <w:bCs w:val="0"/>
          <w:kern w:val="2"/>
          <w:sz w:val="32"/>
          <w:szCs w:val="32"/>
          <w:lang w:val="en-US" w:eastAsia="zh-CN" w:bidi="ar-SA"/>
        </w:rPr>
      </w:pPr>
      <w:r>
        <w:rPr>
          <w:rFonts w:hint="eastAsia" w:ascii="宋体" w:hAnsi="宋体" w:eastAsia="方正仿宋_GBK"/>
          <w:b/>
          <w:bCs/>
          <w:sz w:val="32"/>
          <w:szCs w:val="32"/>
          <w:highlight w:val="none"/>
          <w:lang w:val="en-US" w:eastAsia="zh-CN"/>
        </w:rPr>
        <w:t>2.</w:t>
      </w:r>
      <w:r>
        <w:rPr>
          <w:rFonts w:hint="eastAsia" w:ascii="宋体" w:hAnsi="宋体" w:eastAsia="方正仿宋_GB2312" w:cs="方正仿宋_GB2312"/>
          <w:b/>
          <w:bCs/>
          <w:sz w:val="32"/>
          <w:szCs w:val="32"/>
          <w:highlight w:val="none"/>
          <w:lang w:val="en-US" w:eastAsia="zh-CN"/>
        </w:rPr>
        <w:t>联动联处再提速。</w:t>
      </w:r>
      <w:r>
        <w:rPr>
          <w:rFonts w:hint="eastAsia" w:ascii="宋体" w:hAnsi="宋体" w:eastAsia="方正仿宋_GB2312" w:cs="方正仿宋_GB2312"/>
          <w:b w:val="0"/>
          <w:bCs w:val="0"/>
          <w:kern w:val="2"/>
          <w:sz w:val="32"/>
          <w:szCs w:val="32"/>
          <w:lang w:val="en-US" w:eastAsia="zh-CN" w:bidi="ar-SA"/>
        </w:rPr>
        <w:t>借助区城市事件平台功能，与市“民意速办”平台做好上下对接，进一步完善“五哨”联动处置工作机制，逐步做好“城市运行指挥、应急处置调度、经济云大脑预警、互联网敏感舆情、灵锡APP随手拍”等事件的协同响应处置，截至目前，已通过区城市事件平台处置“五哨”联动事件191件。</w:t>
      </w:r>
      <w:r>
        <w:rPr>
          <w:rFonts w:hint="eastAsia" w:ascii="宋体" w:hAnsi="宋体" w:eastAsia="方正仿宋_GB2312" w:cs="方正仿宋_GB2312"/>
          <w:sz w:val="32"/>
          <w:szCs w:val="32"/>
          <w:lang w:val="en-US" w:eastAsia="zh-CN"/>
        </w:rPr>
        <w:t>针对重要节假日及马拉松、樱花节、音乐节等各大活动赛事进行专项监测预警，梳理视频预案，利用lbs人群热力分析平台划定重点区域，制作专题驾驶舱，</w:t>
      </w:r>
      <w:r>
        <w:rPr>
          <w:rFonts w:hint="eastAsia" w:ascii="宋体" w:hAnsi="宋体" w:eastAsia="方正仿宋_GB2312" w:cs="方正仿宋_GB2312"/>
          <w:sz w:val="32"/>
          <w:szCs w:val="32"/>
        </w:rPr>
        <w:t>联动开展</w:t>
      </w:r>
      <w:r>
        <w:rPr>
          <w:rFonts w:hint="eastAsia" w:ascii="宋体" w:hAnsi="宋体" w:eastAsia="方正仿宋_GB2312" w:cs="方正仿宋_GB2312"/>
          <w:sz w:val="32"/>
          <w:szCs w:val="32"/>
          <w:lang w:val="en-US" w:eastAsia="zh-CN"/>
        </w:rPr>
        <w:t>9</w:t>
      </w:r>
      <w:r>
        <w:rPr>
          <w:rFonts w:hint="eastAsia" w:ascii="宋体" w:hAnsi="宋体" w:eastAsia="方正仿宋_GB2312" w:cs="方正仿宋_GB2312"/>
          <w:sz w:val="32"/>
          <w:szCs w:val="32"/>
        </w:rPr>
        <w:t>次活动监测</w:t>
      </w:r>
      <w:r>
        <w:rPr>
          <w:rFonts w:hint="eastAsia" w:ascii="宋体" w:hAnsi="宋体" w:eastAsia="方正仿宋_GB2312" w:cs="方正仿宋_GB2312"/>
          <w:sz w:val="32"/>
          <w:szCs w:val="32"/>
          <w:lang w:eastAsia="zh-CN"/>
        </w:rPr>
        <w:t>，</w:t>
      </w:r>
      <w:r>
        <w:rPr>
          <w:rFonts w:hint="eastAsia" w:ascii="宋体" w:hAnsi="宋体" w:eastAsia="方正仿宋_GB2312" w:cs="方正仿宋_GB2312"/>
          <w:sz w:val="32"/>
          <w:szCs w:val="32"/>
          <w:lang w:val="en-US" w:eastAsia="zh-CN"/>
        </w:rPr>
        <w:t>形成2份专题报告。提前做好梅雨季、台风灾害</w:t>
      </w:r>
      <w:r>
        <w:rPr>
          <w:rFonts w:hint="eastAsia" w:ascii="宋体" w:hAnsi="宋体" w:eastAsia="方正仿宋_GB2312" w:cs="方正仿宋_GB2312"/>
          <w:color w:val="auto"/>
          <w:sz w:val="32"/>
          <w:szCs w:val="32"/>
          <w:lang w:val="en-US" w:eastAsia="zh-CN"/>
        </w:rPr>
        <w:t>处置预案</w:t>
      </w:r>
      <w:r>
        <w:rPr>
          <w:rFonts w:hint="eastAsia" w:ascii="宋体" w:hAnsi="宋体" w:eastAsia="方正仿宋_GB2312" w:cs="方正仿宋_GB2312"/>
          <w:sz w:val="32"/>
          <w:szCs w:val="32"/>
          <w:lang w:val="en-US" w:eastAsia="zh-CN"/>
        </w:rPr>
        <w:t>，采用人工视频轮巡和AI智能发现相结合手段，联动横向部门和镇（街道）指挥中心迅速处置积水内涝事件。</w:t>
      </w:r>
    </w:p>
    <w:p w14:paraId="4A6575FC">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92" w:lineRule="exact"/>
        <w:ind w:leftChars="0" w:firstLine="643" w:firstLineChars="200"/>
        <w:jc w:val="both"/>
        <w:textAlignment w:val="auto"/>
        <w:rPr>
          <w:rFonts w:hint="default" w:ascii="宋体" w:hAnsi="宋体" w:eastAsia="方正仿宋_GBK"/>
          <w:sz w:val="32"/>
          <w:szCs w:val="32"/>
          <w:highlight w:val="none"/>
          <w:lang w:val="en-US" w:eastAsia="zh-CN"/>
        </w:rPr>
      </w:pPr>
      <w:r>
        <w:rPr>
          <w:rFonts w:hint="eastAsia" w:ascii="宋体" w:hAnsi="宋体" w:eastAsia="方正仿宋_GBK" w:cstheme="minorBidi"/>
          <w:b/>
          <w:bCs/>
          <w:kern w:val="2"/>
          <w:sz w:val="32"/>
          <w:szCs w:val="32"/>
          <w:lang w:val="en-US" w:eastAsia="zh-CN" w:bidi="ar-SA"/>
        </w:rPr>
        <w:t>3.</w:t>
      </w:r>
      <w:r>
        <w:rPr>
          <w:rFonts w:hint="eastAsia" w:ascii="宋体" w:hAnsi="宋体" w:eastAsia="方正仿宋_GB2312" w:cs="方正仿宋_GB2312"/>
          <w:b/>
          <w:bCs/>
          <w:sz w:val="32"/>
          <w:szCs w:val="32"/>
          <w:lang w:val="en-US" w:eastAsia="zh-CN"/>
        </w:rPr>
        <w:t>监督问效再提质。</w:t>
      </w:r>
      <w:r>
        <w:rPr>
          <w:rFonts w:hint="eastAsia" w:ascii="宋体" w:hAnsi="宋体" w:eastAsia="方正仿宋_GB2312" w:cs="方正仿宋_GB2312"/>
          <w:b w:val="0"/>
          <w:bCs w:val="0"/>
          <w:kern w:val="2"/>
          <w:sz w:val="32"/>
          <w:szCs w:val="32"/>
          <w:lang w:val="en-US" w:eastAsia="zh-CN" w:bidi="ar-SA"/>
        </w:rPr>
        <w:t>建立“热线+”大监督机制，深化与区检察院、区纪委监委、区审计局等部门之间有关热线业务的协作联动制度，进一步形成数据共享、双向互动等工作机制</w:t>
      </w:r>
      <w:r>
        <w:rPr>
          <w:rFonts w:hint="eastAsia" w:ascii="宋体" w:hAnsi="宋体" w:eastAsia="方正仿宋_GB2312" w:cs="方正仿宋_GB2312"/>
          <w:b w:val="0"/>
          <w:bCs w:val="0"/>
          <w:kern w:val="2"/>
          <w:sz w:val="32"/>
          <w:szCs w:val="32"/>
          <w:highlight w:val="none"/>
          <w:lang w:val="en-US" w:eastAsia="zh-CN" w:bidi="ar-SA"/>
        </w:rPr>
        <w:t>，2024年以来累计分享线索工单30余次，涉及3万余条数据信息</w:t>
      </w:r>
      <w:r>
        <w:rPr>
          <w:rFonts w:hint="eastAsia" w:ascii="宋体" w:hAnsi="宋体" w:eastAsia="方正仿宋_GB2312" w:cs="方正仿宋_GB2312"/>
          <w:b w:val="0"/>
          <w:bCs w:val="0"/>
          <w:kern w:val="2"/>
          <w:sz w:val="32"/>
          <w:szCs w:val="32"/>
          <w:lang w:val="en-US" w:eastAsia="zh-CN" w:bidi="ar-SA"/>
        </w:rPr>
        <w:t>。上线区城市事件平台“监督问效”模块，开发建设“处理规范”“办理质效”“重点关注”三大问效模块，通过增强多向监督合力，助推实现作风效能问题的共同督办。</w:t>
      </w:r>
    </w:p>
    <w:p w14:paraId="7E36C95D">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670B82E-61BF-466C-8A51-0431076A6C94}"/>
  </w:font>
  <w:font w:name="方正楷体_GBK">
    <w:panose1 w:val="03000509000000000000"/>
    <w:charset w:val="86"/>
    <w:family w:val="auto"/>
    <w:pitch w:val="default"/>
    <w:sig w:usb0="00000001" w:usb1="080E0000" w:usb2="00000000" w:usb3="00000000" w:csb0="00040000" w:csb1="00000000"/>
    <w:embedRegular r:id="rId2" w:fontKey="{2AB9F753-D6E2-41ED-B108-5883E2E0C220}"/>
  </w:font>
  <w:font w:name="方正仿宋_GB2312">
    <w:panose1 w:val="02000000000000000000"/>
    <w:charset w:val="86"/>
    <w:family w:val="auto"/>
    <w:pitch w:val="default"/>
    <w:sig w:usb0="A00002BF" w:usb1="184F6CFA" w:usb2="00000012" w:usb3="00000000" w:csb0="00040001" w:csb1="00000000"/>
    <w:embedRegular r:id="rId3" w:fontKey="{19985E4B-9691-471C-AB24-AE078E17C0BF}"/>
  </w:font>
  <w:font w:name="方正仿宋_GBK">
    <w:panose1 w:val="03000509000000000000"/>
    <w:charset w:val="86"/>
    <w:family w:val="auto"/>
    <w:pitch w:val="default"/>
    <w:sig w:usb0="00000001" w:usb1="080E0000" w:usb2="00000000" w:usb3="00000000" w:csb0="00040000" w:csb1="00000000"/>
    <w:embedRegular r:id="rId4" w:fontKey="{B5DC4D45-BF3B-40FE-BA75-AEA06E4E465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ZjdiMzg2YzU5ZjQ0MWU5NGNhYTU1NWQ5ZWI4MzEifQ=="/>
  </w:docVars>
  <w:rsids>
    <w:rsidRoot w:val="00000000"/>
    <w:rsid w:val="585A42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2025-04-17T06:53:28Z</dcterms:created>
  <dc:creator>dell</dc:creator>
  <cp:lastModifiedBy>王丹</cp:lastModifiedBy>
  <dcterms:modified xsi:type="dcterms:W3CDTF">2025-04-17T06:57:24Z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7F2E4D029813430388515994CA14C64E_12</vt:lpwstr>
  </property>
</Properties>
</file>