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592" w:lineRule="exact"/>
        <w:jc w:val="center"/>
        <w:rPr>
          <w:rFonts w:hint="eastAsia" w:ascii="宋体" w:hAnsi="宋体" w:eastAsia="方正小标宋_GBK" w:cs="方正小标宋_GBK"/>
          <w:color w:val="000000" w:themeColor="text1"/>
          <w:sz w:val="44"/>
          <w:szCs w:val="44"/>
          <w:highlight w:val="none"/>
          <w:u w:val="none"/>
          <w:lang w:eastAsia="zh-CN"/>
          <w14:textFill>
            <w14:solidFill>
              <w14:schemeClr w14:val="tx1"/>
            </w14:solidFill>
          </w14:textFill>
        </w:rPr>
      </w:pPr>
      <w:r>
        <w:rPr>
          <w:rFonts w:hint="eastAsia" w:ascii="宋体" w:hAnsi="宋体" w:eastAsia="方正小标宋_GBK" w:cs="方正小标宋_GBK"/>
          <w:color w:val="000000" w:themeColor="text1"/>
          <w:sz w:val="44"/>
          <w:szCs w:val="44"/>
          <w:highlight w:val="none"/>
          <w:u w:val="none"/>
          <w14:textFill>
            <w14:solidFill>
              <w14:schemeClr w14:val="tx1"/>
            </w14:solidFill>
          </w14:textFill>
        </w:rPr>
        <w:t>无锡太湖国家旅游度假区</w:t>
      </w:r>
      <w:r>
        <w:rPr>
          <w:rFonts w:hint="eastAsia" w:ascii="宋体" w:hAnsi="宋体" w:eastAsia="方正小标宋_GBK" w:cs="方正小标宋_GBK"/>
          <w:color w:val="000000" w:themeColor="text1"/>
          <w:sz w:val="44"/>
          <w:szCs w:val="44"/>
          <w:highlight w:val="none"/>
          <w:u w:val="none"/>
          <w:lang w:eastAsia="zh-CN"/>
          <w14:textFill>
            <w14:solidFill>
              <w14:schemeClr w14:val="tx1"/>
            </w14:solidFill>
          </w14:textFill>
        </w:rPr>
        <w:t>（</w:t>
      </w:r>
      <w:r>
        <w:rPr>
          <w:rFonts w:hint="eastAsia" w:ascii="宋体" w:hAnsi="宋体" w:eastAsia="方正小标宋_GBK" w:cs="方正小标宋_GBK"/>
          <w:color w:val="000000" w:themeColor="text1"/>
          <w:sz w:val="44"/>
          <w:szCs w:val="44"/>
          <w:highlight w:val="none"/>
          <w:u w:val="none"/>
          <w:lang w:val="en-US" w:eastAsia="zh-CN"/>
          <w14:textFill>
            <w14:solidFill>
              <w14:schemeClr w14:val="tx1"/>
            </w14:solidFill>
          </w14:textFill>
        </w:rPr>
        <w:t>马山街道</w:t>
      </w:r>
      <w:r>
        <w:rPr>
          <w:rFonts w:hint="eastAsia" w:ascii="宋体" w:hAnsi="宋体" w:eastAsia="方正小标宋_GBK" w:cs="方正小标宋_GBK"/>
          <w:color w:val="000000" w:themeColor="text1"/>
          <w:sz w:val="44"/>
          <w:szCs w:val="44"/>
          <w:highlight w:val="none"/>
          <w:u w:val="none"/>
          <w:lang w:eastAsia="zh-CN"/>
          <w14:textFill>
            <w14:solidFill>
              <w14:schemeClr w14:val="tx1"/>
            </w14:solidFill>
          </w14:textFill>
        </w:rPr>
        <w:t>）</w:t>
      </w:r>
      <w:r>
        <w:rPr>
          <w:rFonts w:hint="eastAsia" w:ascii="宋体" w:hAnsi="宋体" w:eastAsia="方正小标宋_GBK" w:cs="方正小标宋_GBK"/>
          <w:color w:val="000000" w:themeColor="text1"/>
          <w:sz w:val="44"/>
          <w:szCs w:val="44"/>
          <w:highlight w:val="none"/>
          <w:u w:val="none"/>
          <w14:textFill>
            <w14:solidFill>
              <w14:schemeClr w14:val="tx1"/>
            </w14:solidFill>
          </w14:textFill>
        </w:rPr>
        <w:t>202</w:t>
      </w:r>
      <w:r>
        <w:rPr>
          <w:rFonts w:hint="eastAsia" w:ascii="宋体" w:hAnsi="宋体" w:eastAsia="方正小标宋_GBK" w:cs="方正小标宋_GBK"/>
          <w:color w:val="000000" w:themeColor="text1"/>
          <w:sz w:val="44"/>
          <w:szCs w:val="44"/>
          <w:highlight w:val="none"/>
          <w:u w:val="none"/>
          <w:lang w:val="en-US" w:eastAsia="zh-CN"/>
          <w14:textFill>
            <w14:solidFill>
              <w14:schemeClr w14:val="tx1"/>
            </w14:solidFill>
          </w14:textFill>
        </w:rPr>
        <w:t>4</w:t>
      </w:r>
      <w:r>
        <w:rPr>
          <w:rFonts w:hint="eastAsia" w:ascii="宋体" w:hAnsi="宋体" w:eastAsia="方正小标宋_GBK" w:cs="方正小标宋_GBK"/>
          <w:color w:val="000000" w:themeColor="text1"/>
          <w:sz w:val="44"/>
          <w:szCs w:val="44"/>
          <w:highlight w:val="none"/>
          <w:u w:val="none"/>
          <w14:textFill>
            <w14:solidFill>
              <w14:schemeClr w14:val="tx1"/>
            </w14:solidFill>
          </w14:textFill>
        </w:rPr>
        <w:t>年工作总结及202</w:t>
      </w:r>
      <w:r>
        <w:rPr>
          <w:rFonts w:hint="eastAsia" w:ascii="宋体" w:hAnsi="宋体" w:eastAsia="方正小标宋_GBK" w:cs="方正小标宋_GBK"/>
          <w:color w:val="000000" w:themeColor="text1"/>
          <w:sz w:val="44"/>
          <w:szCs w:val="44"/>
          <w:highlight w:val="none"/>
          <w:u w:val="none"/>
          <w:lang w:val="en-US" w:eastAsia="zh-CN"/>
          <w14:textFill>
            <w14:solidFill>
              <w14:schemeClr w14:val="tx1"/>
            </w14:solidFill>
          </w14:textFill>
        </w:rPr>
        <w:t>5</w:t>
      </w:r>
      <w:r>
        <w:rPr>
          <w:rFonts w:hint="eastAsia" w:ascii="宋体" w:hAnsi="宋体" w:eastAsia="方正小标宋_GBK" w:cs="方正小标宋_GBK"/>
          <w:color w:val="000000" w:themeColor="text1"/>
          <w:sz w:val="44"/>
          <w:szCs w:val="44"/>
          <w:highlight w:val="none"/>
          <w:u w:val="none"/>
          <w14:textFill>
            <w14:solidFill>
              <w14:schemeClr w14:val="tx1"/>
            </w14:solidFill>
          </w14:textFill>
        </w:rPr>
        <w:t>年工作</w:t>
      </w:r>
      <w:r>
        <w:rPr>
          <w:rFonts w:hint="eastAsia" w:ascii="宋体" w:hAnsi="宋体" w:eastAsia="方正小标宋_GBK" w:cs="方正小标宋_GBK"/>
          <w:color w:val="000000" w:themeColor="text1"/>
          <w:sz w:val="44"/>
          <w:szCs w:val="44"/>
          <w:highlight w:val="none"/>
          <w:u w:val="none"/>
          <w:lang w:val="en-US" w:eastAsia="zh-CN"/>
          <w14:textFill>
            <w14:solidFill>
              <w14:schemeClr w14:val="tx1"/>
            </w14:solidFill>
          </w14:textFill>
        </w:rPr>
        <w:t>计划</w:t>
      </w:r>
    </w:p>
    <w:p>
      <w:pPr>
        <w:pStyle w:val="5"/>
        <w:keepNext w:val="0"/>
        <w:keepLines w:val="0"/>
        <w:topLinePunct/>
        <w:spacing w:before="0" w:after="0" w:line="592" w:lineRule="exact"/>
        <w:jc w:val="center"/>
        <w:rPr>
          <w:rFonts w:ascii="宋体" w:hAnsi="宋体" w:eastAsia="方正仿宋_GBK" w:cs="Times New Roman"/>
          <w:color w:val="000000" w:themeColor="text1"/>
          <w:sz w:val="32"/>
          <w:szCs w:val="32"/>
          <w:highlight w:val="none"/>
          <w:u w:val="none"/>
          <w14:textFill>
            <w14:solidFill>
              <w14:schemeClr w14:val="tx1"/>
            </w14:solidFill>
          </w14:textFill>
        </w:rPr>
      </w:pPr>
      <w:r>
        <w:rPr>
          <w:rFonts w:hint="eastAsia" w:ascii="宋体" w:hAnsi="宋体" w:eastAsia="方正仿宋_GBK" w:cs="Times New Roman"/>
          <w:b w:val="0"/>
          <w:bCs w:val="0"/>
          <w:color w:val="000000" w:themeColor="text1"/>
          <w:sz w:val="32"/>
          <w:szCs w:val="32"/>
          <w:highlight w:val="none"/>
          <w:u w:val="none"/>
          <w14:textFill>
            <w14:solidFill>
              <w14:schemeClr w14:val="tx1"/>
            </w14:solidFill>
          </w14:textFill>
        </w:rPr>
        <w:t>（</w:t>
      </w:r>
      <w:r>
        <w:rPr>
          <w:rFonts w:hint="eastAsia" w:ascii="宋体" w:hAnsi="宋体" w:eastAsia="宋体" w:cs="宋体"/>
          <w:b w:val="0"/>
          <w:bCs w:val="0"/>
          <w:color w:val="000000" w:themeColor="text1"/>
          <w:sz w:val="32"/>
          <w:szCs w:val="32"/>
          <w:highlight w:val="none"/>
          <w:u w:val="none"/>
          <w14:textFill>
            <w14:solidFill>
              <w14:schemeClr w14:val="tx1"/>
            </w14:solidFill>
          </w14:textFill>
        </w:rPr>
        <w:t>202</w:t>
      </w:r>
      <w:r>
        <w:rPr>
          <w:rFonts w:hint="eastAsia" w:ascii="宋体" w:hAnsi="宋体" w:eastAsia="宋体" w:cs="宋体"/>
          <w:b w:val="0"/>
          <w:bCs w:val="0"/>
          <w:color w:val="000000" w:themeColor="text1"/>
          <w:sz w:val="32"/>
          <w:szCs w:val="32"/>
          <w:highlight w:val="none"/>
          <w:u w:val="none"/>
          <w:lang w:val="en-US" w:eastAsia="zh-CN"/>
          <w14:textFill>
            <w14:solidFill>
              <w14:schemeClr w14:val="tx1"/>
            </w14:solidFill>
          </w14:textFill>
        </w:rPr>
        <w:t>4</w:t>
      </w:r>
      <w:r>
        <w:rPr>
          <w:rFonts w:hint="eastAsia" w:ascii="宋体" w:hAnsi="宋体" w:eastAsia="方正仿宋_GBK" w:cs="Times New Roman"/>
          <w:b w:val="0"/>
          <w:bCs w:val="0"/>
          <w:color w:val="000000" w:themeColor="text1"/>
          <w:sz w:val="32"/>
          <w:szCs w:val="32"/>
          <w:highlight w:val="none"/>
          <w:u w:val="none"/>
          <w14:textFill>
            <w14:solidFill>
              <w14:schemeClr w14:val="tx1"/>
            </w14:solidFill>
          </w14:textFill>
        </w:rPr>
        <w:t>年</w:t>
      </w:r>
      <w:r>
        <w:rPr>
          <w:rFonts w:hint="eastAsia" w:ascii="宋体" w:hAnsi="宋体" w:eastAsia="宋体" w:cs="宋体"/>
          <w:b w:val="0"/>
          <w:bCs w:val="0"/>
          <w:color w:val="000000" w:themeColor="text1"/>
          <w:sz w:val="32"/>
          <w:szCs w:val="32"/>
          <w:highlight w:val="none"/>
          <w:u w:val="none"/>
          <w14:textFill>
            <w14:solidFill>
              <w14:schemeClr w14:val="tx1"/>
            </w14:solidFill>
          </w14:textFill>
        </w:rPr>
        <w:t>1</w:t>
      </w:r>
      <w:r>
        <w:rPr>
          <w:rFonts w:hint="eastAsia" w:ascii="宋体" w:hAnsi="宋体" w:eastAsia="宋体" w:cs="宋体"/>
          <w:b w:val="0"/>
          <w:bCs w:val="0"/>
          <w:color w:val="000000" w:themeColor="text1"/>
          <w:sz w:val="32"/>
          <w:szCs w:val="32"/>
          <w:highlight w:val="none"/>
          <w:u w:val="none"/>
          <w:lang w:val="en-US" w:eastAsia="zh-CN"/>
          <w14:textFill>
            <w14:solidFill>
              <w14:schemeClr w14:val="tx1"/>
            </w14:solidFill>
          </w14:textFill>
        </w:rPr>
        <w:t>0</w:t>
      </w:r>
      <w:r>
        <w:rPr>
          <w:rFonts w:hint="eastAsia" w:ascii="宋体" w:hAnsi="宋体" w:eastAsia="方正仿宋_GBK" w:cs="Times New Roman"/>
          <w:b w:val="0"/>
          <w:bCs w:val="0"/>
          <w:color w:val="000000" w:themeColor="text1"/>
          <w:sz w:val="32"/>
          <w:szCs w:val="32"/>
          <w:highlight w:val="none"/>
          <w:u w:val="none"/>
          <w14:textFill>
            <w14:solidFill>
              <w14:schemeClr w14:val="tx1"/>
            </w14:solidFill>
          </w14:textFill>
        </w:rPr>
        <w:t>月）</w:t>
      </w:r>
    </w:p>
    <w:p>
      <w:pPr>
        <w:spacing w:line="592" w:lineRule="exact"/>
        <w:ind w:firstLine="640" w:firstLineChars="200"/>
        <w:rPr>
          <w:rFonts w:ascii="宋体" w:hAnsi="宋体" w:eastAsia="方正仿宋_GBK"/>
          <w:color w:val="000000" w:themeColor="text1"/>
          <w:sz w:val="32"/>
          <w:szCs w:val="32"/>
          <w:highlight w:val="none"/>
          <w:u w:val="none"/>
          <w14:textFill>
            <w14:solidFill>
              <w14:schemeClr w14:val="tx1"/>
            </w14:solidFill>
          </w14:textFill>
        </w:rPr>
      </w:pPr>
    </w:p>
    <w:p>
      <w:pPr>
        <w:spacing w:line="592" w:lineRule="exact"/>
        <w:jc w:val="left"/>
        <w:rPr>
          <w:rFonts w:hint="eastAsia" w:ascii="宋体" w:hAnsi="宋体" w:eastAsia="方正楷体_GBK" w:cs="方正楷体_GBK"/>
          <w:color w:val="000000" w:themeColor="text1"/>
          <w:sz w:val="32"/>
          <w:szCs w:val="32"/>
          <w:highlight w:val="none"/>
          <w:u w:val="none"/>
          <w14:textFill>
            <w14:solidFill>
              <w14:schemeClr w14:val="tx1"/>
            </w14:solidFill>
          </w14:textFill>
        </w:rPr>
      </w:pPr>
      <w:r>
        <w:rPr>
          <w:rFonts w:hint="eastAsia" w:ascii="宋体" w:hAnsi="宋体" w:eastAsia="方正楷体_GBK" w:cs="方正楷体_GBK"/>
          <w:color w:val="000000" w:themeColor="text1"/>
          <w:sz w:val="32"/>
          <w:szCs w:val="32"/>
          <w:highlight w:val="none"/>
          <w:u w:val="none"/>
          <w14:textFill>
            <w14:solidFill>
              <w14:schemeClr w14:val="tx1"/>
            </w14:solidFill>
          </w14:textFill>
        </w:rPr>
        <w:t>中共滨湖区委、滨湖区人民政府：</w:t>
      </w:r>
    </w:p>
    <w:p>
      <w:pPr>
        <w:spacing w:line="592" w:lineRule="exact"/>
        <w:ind w:firstLine="640" w:firstLineChars="200"/>
        <w:jc w:val="left"/>
        <w:rPr>
          <w:rFonts w:hint="eastAsia" w:ascii="宋体" w:hAnsi="宋体" w:eastAsia="方正黑体_GBK" w:cs="方正黑体_GBK"/>
          <w:color w:val="000000" w:themeColor="text1"/>
          <w:sz w:val="32"/>
          <w:szCs w:val="32"/>
          <w:highlight w:val="none"/>
          <w:u w:val="none"/>
          <w14:textFill>
            <w14:solidFill>
              <w14:schemeClr w14:val="tx1"/>
            </w14:solidFill>
          </w14:textFill>
        </w:rPr>
      </w:pPr>
      <w:r>
        <w:rPr>
          <w:rFonts w:hint="eastAsia" w:ascii="宋体" w:hAnsi="宋体" w:eastAsia="方正仿宋_GBK" w:cs="方正仿宋_GBK"/>
          <w:color w:val="000000" w:themeColor="text1"/>
          <w:sz w:val="32"/>
          <w:szCs w:val="32"/>
          <w:highlight w:val="none"/>
          <w:u w:val="none"/>
          <w14:textFill>
            <w14:solidFill>
              <w14:schemeClr w14:val="tx1"/>
            </w14:solidFill>
          </w14:textFill>
        </w:rPr>
        <w:t>现向中共滨湖区委、滨湖区人民政府上报无锡太湖国家旅游度假区（马山街道）202</w:t>
      </w:r>
      <w:r>
        <w:rPr>
          <w:rFonts w:hint="eastAsia" w:ascii="宋体" w:hAnsi="宋体" w:eastAsia="方正仿宋_GBK" w:cs="方正仿宋_GBK"/>
          <w:color w:val="000000" w:themeColor="text1"/>
          <w:sz w:val="32"/>
          <w:szCs w:val="32"/>
          <w:highlight w:val="none"/>
          <w:u w:val="none"/>
          <w:lang w:val="en-US" w:eastAsia="zh-CN"/>
          <w14:textFill>
            <w14:solidFill>
              <w14:schemeClr w14:val="tx1"/>
            </w14:solidFill>
          </w14:textFill>
        </w:rPr>
        <w:t>4</w:t>
      </w:r>
      <w:r>
        <w:rPr>
          <w:rFonts w:hint="eastAsia" w:ascii="宋体" w:hAnsi="宋体" w:eastAsia="方正仿宋_GBK" w:cs="方正仿宋_GBK"/>
          <w:color w:val="000000" w:themeColor="text1"/>
          <w:sz w:val="32"/>
          <w:szCs w:val="32"/>
          <w:highlight w:val="none"/>
          <w:u w:val="none"/>
          <w14:textFill>
            <w14:solidFill>
              <w14:schemeClr w14:val="tx1"/>
            </w14:solidFill>
          </w14:textFill>
        </w:rPr>
        <w:t>年工作总结及202</w:t>
      </w:r>
      <w:r>
        <w:rPr>
          <w:rFonts w:hint="eastAsia" w:ascii="宋体" w:hAnsi="宋体" w:eastAsia="方正仿宋_GBK" w:cs="方正仿宋_GBK"/>
          <w:color w:val="000000" w:themeColor="text1"/>
          <w:sz w:val="32"/>
          <w:szCs w:val="32"/>
          <w:highlight w:val="none"/>
          <w:u w:val="none"/>
          <w:lang w:val="en-US" w:eastAsia="zh-CN"/>
          <w14:textFill>
            <w14:solidFill>
              <w14:schemeClr w14:val="tx1"/>
            </w14:solidFill>
          </w14:textFill>
        </w:rPr>
        <w:t>5</w:t>
      </w:r>
      <w:r>
        <w:rPr>
          <w:rFonts w:hint="eastAsia" w:ascii="宋体" w:hAnsi="宋体" w:eastAsia="方正仿宋_GBK" w:cs="方正仿宋_GBK"/>
          <w:color w:val="000000" w:themeColor="text1"/>
          <w:sz w:val="32"/>
          <w:szCs w:val="32"/>
          <w:highlight w:val="none"/>
          <w:u w:val="none"/>
          <w14:textFill>
            <w14:solidFill>
              <w14:schemeClr w14:val="tx1"/>
            </w14:solidFill>
          </w14:textFill>
        </w:rPr>
        <w:t>年工作计划如下：</w:t>
      </w:r>
    </w:p>
    <w:p>
      <w:pPr>
        <w:topLinePunct/>
        <w:spacing w:line="592" w:lineRule="exact"/>
        <w:ind w:firstLine="640" w:firstLineChars="200"/>
        <w:rPr>
          <w:rFonts w:ascii="宋体" w:hAnsi="宋体" w:eastAsia="方正黑体_GBK" w:cs="方正黑体_GBK"/>
          <w:color w:val="000000" w:themeColor="text1"/>
          <w:sz w:val="32"/>
          <w:szCs w:val="32"/>
          <w:highlight w:val="none"/>
          <w:u w:val="none"/>
          <w14:textFill>
            <w14:solidFill>
              <w14:schemeClr w14:val="tx1"/>
            </w14:solidFill>
          </w14:textFill>
        </w:rPr>
      </w:pPr>
      <w:r>
        <w:rPr>
          <w:rFonts w:hint="eastAsia" w:ascii="宋体" w:hAnsi="宋体" w:eastAsia="方正黑体_GBK" w:cs="方正黑体_GBK"/>
          <w:color w:val="000000" w:themeColor="text1"/>
          <w:sz w:val="32"/>
          <w:szCs w:val="32"/>
          <w:highlight w:val="none"/>
          <w:u w:val="none"/>
          <w14:textFill>
            <w14:solidFill>
              <w14:schemeClr w14:val="tx1"/>
            </w14:solidFill>
          </w14:textFill>
        </w:rPr>
        <w:t>一、202</w:t>
      </w:r>
      <w:r>
        <w:rPr>
          <w:rFonts w:hint="eastAsia" w:ascii="宋体" w:hAnsi="宋体" w:eastAsia="方正黑体_GBK" w:cs="方正黑体_GBK"/>
          <w:color w:val="000000" w:themeColor="text1"/>
          <w:sz w:val="32"/>
          <w:szCs w:val="32"/>
          <w:highlight w:val="none"/>
          <w:u w:val="none"/>
          <w:lang w:val="en-US" w:eastAsia="zh-CN"/>
          <w14:textFill>
            <w14:solidFill>
              <w14:schemeClr w14:val="tx1"/>
            </w14:solidFill>
          </w14:textFill>
        </w:rPr>
        <w:t>4</w:t>
      </w:r>
      <w:r>
        <w:rPr>
          <w:rFonts w:hint="eastAsia" w:ascii="宋体" w:hAnsi="宋体" w:eastAsia="方正黑体_GBK" w:cs="方正黑体_GBK"/>
          <w:color w:val="000000" w:themeColor="text1"/>
          <w:sz w:val="32"/>
          <w:szCs w:val="32"/>
          <w:highlight w:val="none"/>
          <w:u w:val="none"/>
          <w14:textFill>
            <w14:solidFill>
              <w14:schemeClr w14:val="tx1"/>
            </w14:solidFill>
          </w14:textFill>
        </w:rPr>
        <w:t>年工作完成情况</w:t>
      </w:r>
    </w:p>
    <w:p>
      <w:pPr>
        <w:topLinePunct/>
        <w:spacing w:line="592" w:lineRule="exact"/>
        <w:ind w:firstLine="640" w:firstLineChars="200"/>
        <w:rPr>
          <w:rFonts w:ascii="宋体" w:hAnsi="宋体" w:eastAsia="方正仿宋_GBK"/>
          <w:color w:val="000000" w:themeColor="text1"/>
          <w:sz w:val="32"/>
          <w:szCs w:val="32"/>
          <w:highlight w:val="none"/>
          <w:u w:val="none"/>
          <w14:textFill>
            <w14:solidFill>
              <w14:schemeClr w14:val="tx1"/>
            </w14:solidFill>
          </w14:textFill>
        </w:rPr>
      </w:pPr>
      <w:r>
        <w:rPr>
          <w:rFonts w:hint="eastAsia" w:ascii="宋体" w:hAnsi="宋体" w:cs="宋体"/>
          <w:color w:val="000000" w:themeColor="text1"/>
          <w:sz w:val="32"/>
          <w:szCs w:val="32"/>
          <w:highlight w:val="none"/>
          <w:u w:val="none"/>
          <w14:textFill>
            <w14:solidFill>
              <w14:schemeClr w14:val="tx1"/>
            </w14:solidFill>
          </w14:textFill>
        </w:rPr>
        <w:t>202</w:t>
      </w:r>
      <w:r>
        <w:rPr>
          <w:rFonts w:hint="eastAsia" w:ascii="宋体" w:hAnsi="宋体" w:cs="宋体"/>
          <w:color w:val="000000" w:themeColor="text1"/>
          <w:sz w:val="32"/>
          <w:szCs w:val="32"/>
          <w:highlight w:val="none"/>
          <w:u w:val="none"/>
          <w:lang w:val="en-US" w:eastAsia="zh-CN"/>
          <w14:textFill>
            <w14:solidFill>
              <w14:schemeClr w14:val="tx1"/>
            </w14:solidFill>
          </w14:textFill>
        </w:rPr>
        <w:t>4</w:t>
      </w:r>
      <w:r>
        <w:rPr>
          <w:rFonts w:hint="eastAsia" w:ascii="宋体" w:hAnsi="宋体" w:eastAsia="方正仿宋_GBK"/>
          <w:color w:val="000000" w:themeColor="text1"/>
          <w:sz w:val="32"/>
          <w:szCs w:val="32"/>
          <w:highlight w:val="none"/>
          <w:u w:val="none"/>
          <w14:textFill>
            <w14:solidFill>
              <w14:schemeClr w14:val="tx1"/>
            </w14:solidFill>
          </w14:textFill>
        </w:rPr>
        <w:t>年是</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新中国成立75周年</w:t>
      </w:r>
      <w:r>
        <w:rPr>
          <w:rFonts w:hint="eastAsia" w:ascii="宋体" w:hAnsi="宋体" w:eastAsia="方正仿宋_GBK"/>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是实现“十四五”规划目标任务的关键一年，也是度假区推进“灵山湾生态城”建设的重要一年。今年以来，</w:t>
      </w:r>
      <w:r>
        <w:rPr>
          <w:rFonts w:hint="eastAsia" w:ascii="宋体" w:hAnsi="宋体" w:eastAsia="方正仿宋_GBK"/>
          <w:color w:val="000000" w:themeColor="text1"/>
          <w:sz w:val="32"/>
          <w:szCs w:val="32"/>
          <w:highlight w:val="none"/>
          <w:u w:val="none"/>
          <w14:textFill>
            <w14:solidFill>
              <w14:schemeClr w14:val="tx1"/>
            </w14:solidFill>
          </w14:textFill>
        </w:rPr>
        <w:t>度假区</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坚持以习近平新时代中国特色社会主义思想为指导，全面学习</w:t>
      </w:r>
      <w:r>
        <w:rPr>
          <w:rFonts w:hint="eastAsia" w:ascii="宋体" w:hAnsi="宋体" w:eastAsia="方正仿宋_GBK"/>
          <w:color w:val="000000" w:themeColor="text1"/>
          <w:sz w:val="32"/>
          <w:szCs w:val="32"/>
          <w:highlight w:val="none"/>
          <w:u w:val="none"/>
          <w14:textFill>
            <w14:solidFill>
              <w14:schemeClr w14:val="tx1"/>
            </w14:solidFill>
          </w14:textFill>
        </w:rPr>
        <w:t>贯彻党的二十大</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和二十届</w:t>
      </w:r>
      <w:bookmarkStart w:id="0" w:name="_GoBack"/>
      <w:bookmarkEnd w:id="0"/>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历次全会</w:t>
      </w:r>
      <w:r>
        <w:rPr>
          <w:rFonts w:hint="eastAsia" w:ascii="宋体" w:hAnsi="宋体" w:eastAsia="方正仿宋_GBK"/>
          <w:color w:val="000000" w:themeColor="text1"/>
          <w:sz w:val="32"/>
          <w:szCs w:val="32"/>
          <w:highlight w:val="none"/>
          <w:u w:val="none"/>
          <w14:textFill>
            <w14:solidFill>
              <w14:schemeClr w14:val="tx1"/>
            </w14:solidFill>
          </w14:textFill>
        </w:rPr>
        <w:t>精神</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认真落实中央和省市区委决策部署，</w:t>
      </w:r>
      <w:r>
        <w:rPr>
          <w:rFonts w:hint="eastAsia" w:ascii="宋体" w:hAnsi="宋体" w:eastAsia="方正仿宋_GBK"/>
          <w:color w:val="000000" w:themeColor="text1"/>
          <w:sz w:val="32"/>
          <w:szCs w:val="32"/>
          <w:highlight w:val="none"/>
          <w:u w:val="none"/>
          <w14:textFill>
            <w14:solidFill>
              <w14:schemeClr w14:val="tx1"/>
            </w14:solidFill>
          </w14:textFill>
        </w:rPr>
        <w:t>在区委区政府的正确领导下，</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锚定目标、奋楫争先</w:t>
      </w:r>
      <w:r>
        <w:rPr>
          <w:rFonts w:hint="eastAsia" w:ascii="宋体" w:hAnsi="宋体" w:eastAsia="方正仿宋_GBK"/>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齐心协力、攻坚克难，全力以赴推动经济社会平稳健康发展</w:t>
      </w:r>
      <w:r>
        <w:rPr>
          <w:rFonts w:hint="eastAsia" w:ascii="宋体" w:hAnsi="宋体" w:eastAsia="方正仿宋_GBK"/>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1-9月，</w:t>
      </w:r>
      <w:r>
        <w:rPr>
          <w:rFonts w:hint="eastAsia" w:ascii="宋体" w:hAnsi="宋体" w:eastAsia="方正仿宋_GBK"/>
          <w:color w:val="000000" w:themeColor="text1"/>
          <w:sz w:val="32"/>
          <w:szCs w:val="32"/>
          <w:highlight w:val="none"/>
          <w:u w:val="none"/>
          <w14:textFill>
            <w14:solidFill>
              <w14:schemeClr w14:val="tx1"/>
            </w14:solidFill>
          </w14:textFill>
        </w:rPr>
        <w:t>完成</w:t>
      </w:r>
      <w:r>
        <w:rPr>
          <w:rFonts w:hint="eastAsia" w:ascii="宋体" w:hAnsi="宋体" w:eastAsia="方正楷体_GBK"/>
          <w:b/>
          <w:color w:val="000000" w:themeColor="text1"/>
          <w:sz w:val="32"/>
          <w:szCs w:val="32"/>
          <w:highlight w:val="none"/>
          <w:u w:val="none"/>
          <w14:textFill>
            <w14:solidFill>
              <w14:schemeClr w14:val="tx1"/>
            </w14:solidFill>
          </w14:textFill>
        </w:rPr>
        <w:t>一般公共预算收入</w:t>
      </w:r>
      <w:r>
        <w:rPr>
          <w:rFonts w:hint="eastAsia" w:ascii="宋体" w:hAnsi="宋体" w:eastAsia="方正楷体_GBK" w:cs="宋体"/>
          <w:color w:val="000000" w:themeColor="text1"/>
          <w:sz w:val="32"/>
          <w:szCs w:val="32"/>
          <w:highlight w:val="none"/>
          <w:u w:val="none"/>
          <w:lang w:val="en-US" w:eastAsia="zh-CN"/>
          <w14:textFill>
            <w14:solidFill>
              <w14:schemeClr w14:val="tx1"/>
            </w14:solidFill>
          </w14:textFill>
        </w:rPr>
        <w:t>10.7</w:t>
      </w:r>
      <w:r>
        <w:rPr>
          <w:rFonts w:hint="eastAsia" w:ascii="宋体" w:hAnsi="宋体" w:eastAsia="方正仿宋_GBK"/>
          <w:color w:val="000000" w:themeColor="text1"/>
          <w:sz w:val="32"/>
          <w:szCs w:val="32"/>
          <w:highlight w:val="none"/>
          <w:u w:val="none"/>
          <w14:textFill>
            <w14:solidFill>
              <w14:schemeClr w14:val="tx1"/>
            </w14:solidFill>
          </w14:textFill>
        </w:rPr>
        <w:t>亿元；完成</w:t>
      </w:r>
      <w:r>
        <w:rPr>
          <w:rFonts w:hint="eastAsia" w:ascii="宋体" w:hAnsi="宋体" w:eastAsia="方正楷体_GBK"/>
          <w:b/>
          <w:color w:val="000000" w:themeColor="text1"/>
          <w:sz w:val="32"/>
          <w:szCs w:val="32"/>
          <w:highlight w:val="none"/>
          <w:u w:val="none"/>
          <w14:textFill>
            <w14:solidFill>
              <w14:schemeClr w14:val="tx1"/>
            </w14:solidFill>
          </w14:textFill>
        </w:rPr>
        <w:t>规上工业总产值</w:t>
      </w:r>
      <w:r>
        <w:rPr>
          <w:rFonts w:hint="eastAsia" w:ascii="宋体" w:hAnsi="宋体" w:cs="宋体"/>
          <w:color w:val="000000" w:themeColor="text1"/>
          <w:sz w:val="32"/>
          <w:szCs w:val="32"/>
          <w:highlight w:val="none"/>
          <w:u w:val="none"/>
          <w14:textFill>
            <w14:solidFill>
              <w14:schemeClr w14:val="tx1"/>
            </w14:solidFill>
          </w14:textFill>
        </w:rPr>
        <w:t>183.38</w:t>
      </w:r>
      <w:r>
        <w:rPr>
          <w:rFonts w:ascii="宋体" w:hAnsi="宋体" w:eastAsia="方正仿宋_GBK"/>
          <w:color w:val="000000" w:themeColor="text1"/>
          <w:sz w:val="32"/>
          <w:szCs w:val="32"/>
          <w:highlight w:val="none"/>
          <w:u w:val="none"/>
          <w14:textFill>
            <w14:solidFill>
              <w14:schemeClr w14:val="tx1"/>
            </w14:solidFill>
          </w14:textFill>
        </w:rPr>
        <w:t>亿元</w:t>
      </w:r>
      <w:r>
        <w:rPr>
          <w:rFonts w:hint="eastAsia" w:ascii="宋体" w:hAnsi="宋体" w:eastAsia="方正仿宋_GBK"/>
          <w:color w:val="000000" w:themeColor="text1"/>
          <w:sz w:val="32"/>
          <w:szCs w:val="32"/>
          <w:highlight w:val="none"/>
          <w:u w:val="none"/>
          <w14:textFill>
            <w14:solidFill>
              <w14:schemeClr w14:val="tx1"/>
            </w14:solidFill>
          </w14:textFill>
        </w:rPr>
        <w:t>，同比增长</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10.1</w:t>
      </w:r>
      <w:r>
        <w:rPr>
          <w:rFonts w:hint="eastAsia" w:ascii="宋体" w:hAnsi="宋体" w:cs="宋体"/>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14:textFill>
            <w14:solidFill>
              <w14:schemeClr w14:val="tx1"/>
            </w14:solidFill>
          </w14:textFill>
        </w:rPr>
        <w:t>；</w:t>
      </w:r>
      <w:r>
        <w:rPr>
          <w:rFonts w:hint="eastAsia" w:ascii="宋体" w:hAnsi="宋体" w:eastAsia="方正仿宋_GBK"/>
          <w:bCs/>
          <w:color w:val="000000" w:themeColor="text1"/>
          <w:sz w:val="32"/>
          <w:szCs w:val="32"/>
          <w:highlight w:val="none"/>
          <w:u w:val="none"/>
          <w14:textFill>
            <w14:solidFill>
              <w14:schemeClr w14:val="tx1"/>
            </w14:solidFill>
          </w14:textFill>
        </w:rPr>
        <w:t>完成</w:t>
      </w:r>
      <w:r>
        <w:rPr>
          <w:rFonts w:hint="eastAsia" w:ascii="宋体" w:hAnsi="宋体" w:eastAsia="方正楷体_GBK"/>
          <w:b/>
          <w:color w:val="000000" w:themeColor="text1"/>
          <w:sz w:val="32"/>
          <w:szCs w:val="32"/>
          <w:highlight w:val="none"/>
          <w:u w:val="none"/>
          <w14:textFill>
            <w14:solidFill>
              <w14:schemeClr w14:val="tx1"/>
            </w14:solidFill>
          </w14:textFill>
        </w:rPr>
        <w:t>全社会固定资产投资</w:t>
      </w:r>
      <w:r>
        <w:rPr>
          <w:rFonts w:hint="eastAsia" w:ascii="宋体" w:hAnsi="宋体" w:cs="宋体"/>
          <w:bCs/>
          <w:color w:val="000000" w:themeColor="text1"/>
          <w:sz w:val="32"/>
          <w:szCs w:val="32"/>
          <w:highlight w:val="none"/>
          <w:u w:val="none"/>
          <w14:textFill>
            <w14:solidFill>
              <w14:schemeClr w14:val="tx1"/>
            </w14:solidFill>
          </w14:textFill>
        </w:rPr>
        <w:t>47.47</w:t>
      </w:r>
      <w:r>
        <w:rPr>
          <w:rFonts w:hint="eastAsia" w:ascii="宋体" w:hAnsi="宋体" w:eastAsia="方正仿宋_GBK"/>
          <w:color w:val="000000" w:themeColor="text1"/>
          <w:sz w:val="32"/>
          <w:szCs w:val="32"/>
          <w:highlight w:val="none"/>
          <w:u w:val="none"/>
          <w14:textFill>
            <w14:solidFill>
              <w14:schemeClr w14:val="tx1"/>
            </w14:solidFill>
          </w14:textFill>
        </w:rPr>
        <w:t>亿元，其中</w:t>
      </w:r>
      <w:r>
        <w:rPr>
          <w:rFonts w:hint="eastAsia" w:ascii="宋体" w:hAnsi="宋体" w:eastAsia="方正楷体_GBK"/>
          <w:b/>
          <w:color w:val="000000" w:themeColor="text1"/>
          <w:sz w:val="32"/>
          <w:szCs w:val="32"/>
          <w:highlight w:val="none"/>
          <w:u w:val="none"/>
          <w14:textFill>
            <w14:solidFill>
              <w14:schemeClr w14:val="tx1"/>
            </w14:solidFill>
          </w14:textFill>
        </w:rPr>
        <w:t>工业投入</w:t>
      </w:r>
      <w:r>
        <w:rPr>
          <w:rFonts w:hint="eastAsia" w:ascii="宋体" w:hAnsi="宋体" w:cs="宋体"/>
          <w:color w:val="000000" w:themeColor="text1"/>
          <w:sz w:val="32"/>
          <w:szCs w:val="32"/>
          <w:highlight w:val="none"/>
          <w:u w:val="none"/>
          <w14:textFill>
            <w14:solidFill>
              <w14:schemeClr w14:val="tx1"/>
            </w14:solidFill>
          </w14:textFill>
        </w:rPr>
        <w:t>17.65</w:t>
      </w:r>
      <w:r>
        <w:rPr>
          <w:rFonts w:hint="eastAsia" w:ascii="宋体" w:hAnsi="宋体" w:eastAsia="方正仿宋_GBK"/>
          <w:color w:val="000000" w:themeColor="text1"/>
          <w:sz w:val="32"/>
          <w:szCs w:val="32"/>
          <w:highlight w:val="none"/>
          <w:u w:val="none"/>
          <w14:textFill>
            <w14:solidFill>
              <w14:schemeClr w14:val="tx1"/>
            </w14:solidFill>
          </w14:textFill>
        </w:rPr>
        <w:t>亿元；完成</w:t>
      </w:r>
      <w:r>
        <w:rPr>
          <w:rFonts w:hint="eastAsia" w:ascii="宋体" w:hAnsi="宋体" w:eastAsia="方正楷体_GBK"/>
          <w:b/>
          <w:color w:val="000000" w:themeColor="text1"/>
          <w:sz w:val="32"/>
          <w:szCs w:val="32"/>
          <w:highlight w:val="none"/>
          <w:u w:val="none"/>
          <w14:textFill>
            <w14:solidFill>
              <w14:schemeClr w14:val="tx1"/>
            </w14:solidFill>
          </w14:textFill>
        </w:rPr>
        <w:t>规上服务业营业收入</w:t>
      </w:r>
      <w:r>
        <w:rPr>
          <w:rFonts w:hint="eastAsia" w:ascii="宋体" w:hAnsi="宋体" w:eastAsia="方正楷体_GBK" w:cs="宋体"/>
          <w:color w:val="000000" w:themeColor="text1"/>
          <w:sz w:val="32"/>
          <w:szCs w:val="32"/>
          <w:highlight w:val="none"/>
          <w:u w:val="none"/>
          <w:lang w:val="en-US" w:eastAsia="zh-CN"/>
          <w14:textFill>
            <w14:solidFill>
              <w14:schemeClr w14:val="tx1"/>
            </w14:solidFill>
          </w14:textFill>
        </w:rPr>
        <w:t>18.77</w:t>
      </w:r>
      <w:r>
        <w:rPr>
          <w:rFonts w:hint="eastAsia" w:ascii="宋体" w:hAnsi="宋体" w:eastAsia="方正仿宋_GBK"/>
          <w:color w:val="000000" w:themeColor="text1"/>
          <w:sz w:val="32"/>
          <w:szCs w:val="32"/>
          <w:highlight w:val="none"/>
          <w:u w:val="none"/>
          <w14:textFill>
            <w14:solidFill>
              <w14:schemeClr w14:val="tx1"/>
            </w14:solidFill>
          </w14:textFill>
        </w:rPr>
        <w:t>亿元，同比增长</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14.9</w:t>
      </w:r>
      <w:r>
        <w:rPr>
          <w:rFonts w:hint="eastAsia" w:ascii="宋体" w:hAnsi="宋体" w:cs="宋体"/>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14:textFill>
            <w14:solidFill>
              <w14:schemeClr w14:val="tx1"/>
            </w14:solidFill>
          </w14:textFill>
        </w:rPr>
        <w:t>；完成</w:t>
      </w:r>
      <w:r>
        <w:rPr>
          <w:rFonts w:hint="eastAsia" w:ascii="宋体" w:hAnsi="宋体" w:eastAsia="方正楷体_GBK"/>
          <w:b/>
          <w:color w:val="000000" w:themeColor="text1"/>
          <w:sz w:val="32"/>
          <w:szCs w:val="32"/>
          <w:highlight w:val="none"/>
          <w:u w:val="none"/>
          <w14:textFill>
            <w14:solidFill>
              <w14:schemeClr w14:val="tx1"/>
            </w14:solidFill>
          </w14:textFill>
        </w:rPr>
        <w:t>限额以上社会消费品零售额</w:t>
      </w:r>
      <w:r>
        <w:rPr>
          <w:rFonts w:hint="eastAsia" w:ascii="宋体" w:hAnsi="宋体" w:eastAsia="方正楷体_GBK" w:cs="宋体"/>
          <w:bCs/>
          <w:color w:val="000000" w:themeColor="text1"/>
          <w:sz w:val="32"/>
          <w:szCs w:val="32"/>
          <w:highlight w:val="none"/>
          <w:u w:val="none"/>
          <w:lang w:val="en-US" w:eastAsia="zh-CN"/>
          <w14:textFill>
            <w14:solidFill>
              <w14:schemeClr w14:val="tx1"/>
            </w14:solidFill>
          </w14:textFill>
        </w:rPr>
        <w:t>6.16</w:t>
      </w:r>
      <w:r>
        <w:rPr>
          <w:rFonts w:hint="eastAsia" w:ascii="宋体" w:hAnsi="宋体" w:eastAsia="方正仿宋_GBK"/>
          <w:color w:val="000000" w:themeColor="text1"/>
          <w:sz w:val="32"/>
          <w:szCs w:val="32"/>
          <w:highlight w:val="none"/>
          <w:u w:val="none"/>
          <w14:textFill>
            <w14:solidFill>
              <w14:schemeClr w14:val="tx1"/>
            </w14:solidFill>
          </w14:textFill>
        </w:rPr>
        <w:t>亿元，同比增长</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17.2</w:t>
      </w:r>
      <w:r>
        <w:rPr>
          <w:rFonts w:hint="eastAsia" w:ascii="宋体" w:hAnsi="宋体" w:cs="宋体"/>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14:textFill>
            <w14:solidFill>
              <w14:schemeClr w14:val="tx1"/>
            </w14:solidFill>
          </w14:textFill>
        </w:rPr>
        <w:t>；完成</w:t>
      </w:r>
      <w:r>
        <w:rPr>
          <w:rFonts w:hint="eastAsia" w:ascii="宋体" w:hAnsi="宋体" w:eastAsia="方正楷体_GBK"/>
          <w:b/>
          <w:color w:val="000000" w:themeColor="text1"/>
          <w:sz w:val="32"/>
          <w:szCs w:val="32"/>
          <w:highlight w:val="none"/>
          <w:u w:val="none"/>
          <w14:textFill>
            <w14:solidFill>
              <w14:schemeClr w14:val="tx1"/>
            </w14:solidFill>
          </w14:textFill>
        </w:rPr>
        <w:t>限额以上贸易总额</w:t>
      </w:r>
      <w:r>
        <w:rPr>
          <w:rFonts w:hint="eastAsia" w:ascii="宋体" w:hAnsi="宋体" w:eastAsia="方正楷体_GBK" w:cs="宋体"/>
          <w:color w:val="000000" w:themeColor="text1"/>
          <w:sz w:val="32"/>
          <w:szCs w:val="32"/>
          <w:highlight w:val="none"/>
          <w:u w:val="none"/>
          <w:lang w:val="en-US" w:eastAsia="zh-CN"/>
          <w14:textFill>
            <w14:solidFill>
              <w14:schemeClr w14:val="tx1"/>
            </w14:solidFill>
          </w14:textFill>
        </w:rPr>
        <w:t>19.41</w:t>
      </w:r>
      <w:r>
        <w:rPr>
          <w:rFonts w:hint="eastAsia" w:ascii="宋体" w:hAnsi="宋体" w:eastAsia="方正仿宋_GBK"/>
          <w:color w:val="000000" w:themeColor="text1"/>
          <w:sz w:val="32"/>
          <w:szCs w:val="32"/>
          <w:highlight w:val="none"/>
          <w:u w:val="none"/>
          <w14:textFill>
            <w14:solidFill>
              <w14:schemeClr w14:val="tx1"/>
            </w14:solidFill>
          </w14:textFill>
        </w:rPr>
        <w:t>亿元</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同比增长58.5%</w:t>
      </w:r>
      <w:r>
        <w:rPr>
          <w:rFonts w:hint="eastAsia" w:ascii="宋体" w:hAnsi="宋体" w:eastAsia="方正仿宋_GBK"/>
          <w:color w:val="000000" w:themeColor="text1"/>
          <w:sz w:val="32"/>
          <w:szCs w:val="32"/>
          <w:highlight w:val="none"/>
          <w:u w:val="none"/>
          <w14:textFill>
            <w14:solidFill>
              <w14:schemeClr w14:val="tx1"/>
            </w14:solidFill>
          </w14:textFill>
        </w:rPr>
        <w:t>；完成</w:t>
      </w:r>
      <w:r>
        <w:rPr>
          <w:rFonts w:hint="eastAsia" w:ascii="宋体" w:hAnsi="宋体" w:eastAsia="方正楷体_GBK"/>
          <w:b/>
          <w:color w:val="000000" w:themeColor="text1"/>
          <w:sz w:val="32"/>
          <w:szCs w:val="32"/>
          <w:highlight w:val="none"/>
          <w:u w:val="none"/>
          <w14:textFill>
            <w14:solidFill>
              <w14:schemeClr w14:val="tx1"/>
            </w14:solidFill>
          </w14:textFill>
        </w:rPr>
        <w:t>进出口总额</w:t>
      </w:r>
      <w:r>
        <w:rPr>
          <w:rFonts w:hint="eastAsia" w:ascii="宋体" w:hAnsi="宋体" w:eastAsia="方正楷体_GBK" w:cs="宋体"/>
          <w:bCs/>
          <w:color w:val="000000" w:themeColor="text1"/>
          <w:sz w:val="32"/>
          <w:szCs w:val="32"/>
          <w:highlight w:val="none"/>
          <w:u w:val="none"/>
          <w:lang w:val="en-US" w:eastAsia="zh-CN"/>
          <w14:textFill>
            <w14:solidFill>
              <w14:schemeClr w14:val="tx1"/>
            </w14:solidFill>
          </w14:textFill>
        </w:rPr>
        <w:t>5.2</w:t>
      </w:r>
      <w:r>
        <w:rPr>
          <w:rFonts w:ascii="宋体" w:hAnsi="宋体" w:eastAsia="方正仿宋_GBK"/>
          <w:color w:val="000000" w:themeColor="text1"/>
          <w:sz w:val="32"/>
          <w:szCs w:val="32"/>
          <w:highlight w:val="none"/>
          <w:u w:val="none"/>
          <w14:textFill>
            <w14:solidFill>
              <w14:schemeClr w14:val="tx1"/>
            </w14:solidFill>
          </w14:textFill>
        </w:rPr>
        <w:t>亿美元</w:t>
      </w:r>
      <w:r>
        <w:rPr>
          <w:rFonts w:hint="eastAsia" w:ascii="宋体" w:hAnsi="宋体" w:eastAsia="方正仿宋_GBK"/>
          <w:color w:val="000000" w:themeColor="text1"/>
          <w:sz w:val="32"/>
          <w:szCs w:val="32"/>
          <w:highlight w:val="none"/>
          <w:u w:val="none"/>
          <w14:textFill>
            <w14:solidFill>
              <w14:schemeClr w14:val="tx1"/>
            </w14:solidFill>
          </w14:textFill>
        </w:rPr>
        <w:t>；完成</w:t>
      </w:r>
      <w:r>
        <w:rPr>
          <w:rFonts w:hint="eastAsia" w:ascii="宋体" w:hAnsi="宋体" w:eastAsia="方正楷体_GBK"/>
          <w:b/>
          <w:color w:val="000000" w:themeColor="text1"/>
          <w:sz w:val="32"/>
          <w:szCs w:val="32"/>
          <w:highlight w:val="none"/>
          <w:u w:val="none"/>
          <w14:textFill>
            <w14:solidFill>
              <w14:schemeClr w14:val="tx1"/>
            </w14:solidFill>
          </w14:textFill>
        </w:rPr>
        <w:t>商务部确认到位外资</w:t>
      </w:r>
      <w:r>
        <w:rPr>
          <w:rFonts w:hint="eastAsia" w:ascii="宋体" w:hAnsi="宋体" w:eastAsia="方正楷体_GBK" w:cs="宋体"/>
          <w:bCs/>
          <w:color w:val="000000" w:themeColor="text1"/>
          <w:sz w:val="32"/>
          <w:szCs w:val="32"/>
          <w:highlight w:val="none"/>
          <w:u w:val="none"/>
          <w:lang w:val="en-US" w:eastAsia="zh-CN"/>
          <w14:textFill>
            <w14:solidFill>
              <w14:schemeClr w14:val="tx1"/>
            </w14:solidFill>
          </w14:textFill>
        </w:rPr>
        <w:t>1.43</w:t>
      </w:r>
      <w:r>
        <w:rPr>
          <w:rFonts w:hint="eastAsia" w:ascii="宋体" w:hAnsi="宋体" w:eastAsia="方正仿宋_GBK"/>
          <w:color w:val="000000" w:themeColor="text1"/>
          <w:sz w:val="32"/>
          <w:szCs w:val="32"/>
          <w:highlight w:val="none"/>
          <w:u w:val="none"/>
          <w14:textFill>
            <w14:solidFill>
              <w14:schemeClr w14:val="tx1"/>
            </w14:solidFill>
          </w14:textFill>
        </w:rPr>
        <w:t>亿美元，为年度目标任务的</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106</w:t>
      </w:r>
      <w:r>
        <w:rPr>
          <w:rFonts w:hint="eastAsia" w:ascii="宋体" w:hAnsi="宋体" w:cs="宋体"/>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14:textFill>
            <w14:solidFill>
              <w14:schemeClr w14:val="tx1"/>
            </w14:solidFill>
          </w14:textFill>
        </w:rPr>
        <w:t>；接待</w:t>
      </w:r>
      <w:r>
        <w:rPr>
          <w:rFonts w:hint="eastAsia" w:ascii="宋体" w:hAnsi="宋体" w:eastAsia="方正楷体_GBK"/>
          <w:b/>
          <w:color w:val="000000" w:themeColor="text1"/>
          <w:sz w:val="32"/>
          <w:szCs w:val="32"/>
          <w:highlight w:val="none"/>
          <w:u w:val="none"/>
          <w14:textFill>
            <w14:solidFill>
              <w14:schemeClr w14:val="tx1"/>
            </w14:solidFill>
          </w14:textFill>
        </w:rPr>
        <w:t>游园人数</w:t>
      </w:r>
      <w:r>
        <w:rPr>
          <w:rFonts w:hint="eastAsia" w:ascii="宋体" w:hAnsi="宋体" w:eastAsia="方正楷体_GBK" w:cs="宋体"/>
          <w:bCs/>
          <w:color w:val="000000" w:themeColor="text1"/>
          <w:sz w:val="32"/>
          <w:szCs w:val="32"/>
          <w:highlight w:val="none"/>
          <w:u w:val="none"/>
          <w:lang w:val="en-US" w:eastAsia="zh-CN"/>
          <w14:textFill>
            <w14:solidFill>
              <w14:schemeClr w14:val="tx1"/>
            </w14:solidFill>
          </w14:textFill>
        </w:rPr>
        <w:t>1056</w:t>
      </w:r>
      <w:r>
        <w:rPr>
          <w:rFonts w:hint="eastAsia" w:ascii="宋体" w:hAnsi="宋体" w:eastAsia="方正仿宋_GBK"/>
          <w:color w:val="000000" w:themeColor="text1"/>
          <w:sz w:val="32"/>
          <w:szCs w:val="32"/>
          <w:highlight w:val="none"/>
          <w:u w:val="none"/>
          <w14:textFill>
            <w14:solidFill>
              <w14:schemeClr w14:val="tx1"/>
            </w14:solidFill>
          </w14:textFill>
        </w:rPr>
        <w:t>万人次。</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度假区在全市三类开发区综合指标排名中累计获得2次第一，获评市季季评二季度高质量发展流动红旗，区一季度真抓实干先进集体。</w:t>
      </w:r>
      <w:r>
        <w:rPr>
          <w:rFonts w:hint="eastAsia" w:ascii="宋体" w:hAnsi="宋体" w:eastAsia="方正仿宋_GBK"/>
          <w:color w:val="000000" w:themeColor="text1"/>
          <w:sz w:val="32"/>
          <w:szCs w:val="32"/>
          <w:highlight w:val="none"/>
          <w:u w:val="none"/>
          <w14:textFill>
            <w14:solidFill>
              <w14:schemeClr w14:val="tx1"/>
            </w14:solidFill>
          </w14:textFill>
        </w:rPr>
        <w:t>具体工作及成效体现为</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以下</w:t>
      </w:r>
      <w:r>
        <w:rPr>
          <w:rFonts w:hint="eastAsia" w:ascii="宋体" w:hAnsi="宋体" w:eastAsia="方正仿宋_GBK"/>
          <w:color w:val="000000" w:themeColor="text1"/>
          <w:sz w:val="32"/>
          <w:szCs w:val="32"/>
          <w:highlight w:val="none"/>
          <w:u w:val="none"/>
          <w14:textFill>
            <w14:solidFill>
              <w14:schemeClr w14:val="tx1"/>
            </w14:solidFill>
          </w14:textFill>
        </w:rPr>
        <w:t>方面：</w:t>
      </w:r>
    </w:p>
    <w:p>
      <w:pPr>
        <w:topLinePunct/>
        <w:spacing w:line="592" w:lineRule="exact"/>
        <w:ind w:firstLine="643" w:firstLineChars="200"/>
        <w:rPr>
          <w:rFonts w:hint="default" w:ascii="宋体" w:hAnsi="宋体" w:eastAsia="方正仿宋_GBK" w:cs="Times New Roman"/>
          <w:color w:val="000000" w:themeColor="text1"/>
          <w:sz w:val="32"/>
          <w:szCs w:val="32"/>
          <w:highlight w:val="none"/>
          <w:u w:val="none"/>
          <w:lang w:val="en-US" w:eastAsia="zh-CN"/>
          <w14:textFill>
            <w14:solidFill>
              <w14:schemeClr w14:val="tx1"/>
            </w14:solidFill>
          </w14:textFill>
        </w:rPr>
      </w:pPr>
      <w:r>
        <w:rPr>
          <w:rFonts w:hint="eastAsia" w:ascii="宋体" w:hAnsi="宋体" w:eastAsia="方正楷体_GBK"/>
          <w:b/>
          <w:color w:val="000000" w:themeColor="text1"/>
          <w:sz w:val="32"/>
          <w:szCs w:val="32"/>
          <w:highlight w:val="none"/>
          <w:u w:val="none"/>
          <w14:textFill>
            <w14:solidFill>
              <w14:schemeClr w14:val="tx1"/>
            </w14:solidFill>
          </w14:textFill>
        </w:rPr>
        <w:t>（一）</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坚持深耕细作、量质并举</w:t>
      </w:r>
      <w:r>
        <w:rPr>
          <w:rFonts w:hint="eastAsia" w:ascii="宋体" w:hAnsi="宋体" w:eastAsia="方正楷体_GBK"/>
          <w:b/>
          <w:color w:val="000000" w:themeColor="text1"/>
          <w:sz w:val="32"/>
          <w:szCs w:val="32"/>
          <w:highlight w:val="none"/>
          <w:u w:val="none"/>
          <w14:textFill>
            <w14:solidFill>
              <w14:schemeClr w14:val="tx1"/>
            </w14:solidFill>
          </w14:textFill>
        </w:rPr>
        <w:t>，</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特色产业攀高逐新</w:t>
      </w:r>
      <w:r>
        <w:rPr>
          <w:rFonts w:hint="eastAsia" w:ascii="宋体" w:hAnsi="宋体" w:eastAsia="方正楷体_GBK"/>
          <w:b/>
          <w:color w:val="000000" w:themeColor="text1"/>
          <w:sz w:val="32"/>
          <w:szCs w:val="32"/>
          <w:highlight w:val="none"/>
          <w:u w:val="none"/>
          <w14:textFill>
            <w14:solidFill>
              <w14:schemeClr w14:val="tx1"/>
            </w14:solidFill>
          </w14:textFill>
        </w:rPr>
        <w:t>。</w:t>
      </w:r>
      <w:r>
        <w:rPr>
          <w:rFonts w:hint="eastAsia" w:ascii="宋体" w:hAnsi="宋体" w:eastAsia="方正仿宋_GBK"/>
          <w:b/>
          <w:color w:val="000000" w:themeColor="text1"/>
          <w:sz w:val="32"/>
          <w:szCs w:val="32"/>
          <w:highlight w:val="none"/>
          <w:u w:val="none"/>
          <w14:textFill>
            <w14:solidFill>
              <w14:schemeClr w14:val="tx1"/>
            </w14:solidFill>
          </w14:textFill>
        </w:rPr>
        <w:t>一是</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产业基础扎实稳固。</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顺应文旅发展趋势，壮大首店经济、夜间经济、数字文旅，挖掘拈花湾“人间烟火夜市”、</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小南湾乡创园</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鸟咖啡</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等</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消费热点。举办2024无锡太湖女子半程马拉松、冠嶂森林步道全线贯通启用主题徒步等活动，首次承办第十二届环太湖国际公路自行车赛</w:t>
      </w:r>
      <w:r>
        <w:rPr>
          <w:rFonts w:hint="eastAsia" w:ascii="宋体" w:hAnsi="宋体" w:eastAsia="方正楷体_GBK" w:cs="方正楷体_GBK"/>
          <w:color w:val="000000" w:themeColor="text1"/>
          <w:sz w:val="24"/>
          <w:szCs w:val="24"/>
          <w:highlight w:val="none"/>
          <w:u w:val="none"/>
          <w:lang w:val="en-US" w:eastAsia="zh-CN"/>
          <w14:textFill>
            <w14:solidFill>
              <w14:schemeClr w14:val="tx1"/>
            </w14:solidFill>
          </w14:textFill>
        </w:rPr>
        <w:t>（无锡滨湖马山赛段）</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，获颁本届赛事“城市贡献奖”。</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拈花湾文旅入选国家级文化产业示范基地。</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深耕医疗器械、合成生物等生命健康细分领域，</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新增税收亿元楼宇2幢</w:t>
      </w:r>
      <w:r>
        <w:rPr>
          <w:rFonts w:hint="eastAsia" w:ascii="宋体" w:hAnsi="宋体" w:eastAsia="方正楷体_GBK" w:cs="方正楷体_GBK"/>
          <w:color w:val="000000" w:themeColor="text1"/>
          <w:sz w:val="24"/>
          <w:szCs w:val="24"/>
          <w:highlight w:val="none"/>
          <w:u w:val="none"/>
          <w:lang w:val="en-US" w:eastAsia="zh-CN"/>
          <w14:textFill>
            <w14:solidFill>
              <w14:schemeClr w14:val="tx1"/>
            </w14:solidFill>
          </w14:textFill>
        </w:rPr>
        <w:t>（药明生物、辉瑞无锡），</w:t>
      </w:r>
      <w:r>
        <w:rPr>
          <w:rFonts w:hint="default"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度假区1-</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9</w:t>
      </w:r>
      <w:r>
        <w:rPr>
          <w:rFonts w:hint="default"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月</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生命健康</w:t>
      </w:r>
      <w:r>
        <w:rPr>
          <w:rFonts w:hint="default"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产值</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113.88</w:t>
      </w:r>
      <w:r>
        <w:rPr>
          <w:rFonts w:hint="default"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亿元</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w:t>
      </w:r>
      <w:r>
        <w:rPr>
          <w:rFonts w:hint="default"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预计全年</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生命健康</w:t>
      </w:r>
      <w:r>
        <w:rPr>
          <w:rFonts w:hint="default"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产业规模120亿元。</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举（承）办“第七届浙江大学校友创新创业大赛人工智能行业决赛暨2024滨湖区人工智能创新创业大赛”等重大活动8场。无锡国际生命科学园在全国生物医药产业园区综合竞争力排名跻身前50。</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二是产业项目提速扩容</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健适医疗无锡生产基地二期项目</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部分主体封顶</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，预计</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明年一季度</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投产。</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辉瑞技改项目正在编制环评，辉瑞无锡工艺开发和培训中心项目已入驻。费卡华瑞多腔袋项目启动建设，预计2026年二季度实现商业化生产。无锡聚树总部项目已入驻，预计年内完成8000万元销售计划。高性能医疗装备产业园如期开工，预计2026年竣工。中国移动数据中心项目一期竣工投运。广源捷泰新能源动力电池组件项目、无锡专件纺机核心基础件智能制造工厂项目正在进行主体施工。四方友信、</w:t>
      </w:r>
      <w:r>
        <w:rPr>
          <w:rFonts w:hint="default" w:ascii="Times New Roman" w:hAnsi="Times New Roman" w:eastAsia="方正仿宋_GBK" w:cs="Times New Roman"/>
          <w:color w:val="000000" w:themeColor="text1"/>
          <w:sz w:val="32"/>
          <w:szCs w:val="32"/>
          <w:highlight w:val="none"/>
          <w:u w:val="none"/>
          <w:lang w:eastAsia="zh-CN"/>
          <w14:textFill>
            <w14:solidFill>
              <w14:schemeClr w14:val="tx1"/>
            </w14:solidFill>
          </w14:textFill>
        </w:rPr>
        <w:t>鑫致远项目</w:t>
      </w:r>
      <w:r>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t>正在办理施工许可证，即将启动建设。</w:t>
      </w:r>
      <w:r>
        <w:rPr>
          <w:rFonts w:hint="eastAsia" w:ascii="宋体" w:hAnsi="宋体" w:cs="宋体"/>
          <w:color w:val="000000" w:themeColor="text1"/>
          <w:sz w:val="32"/>
          <w:szCs w:val="32"/>
          <w:highlight w:val="none"/>
          <w:u w:val="none"/>
          <w14:textFill>
            <w14:solidFill>
              <w14:schemeClr w14:val="tx1"/>
            </w14:solidFill>
          </w14:textFill>
        </w:rPr>
        <w:t>1-9</w:t>
      </w:r>
      <w:r>
        <w:rPr>
          <w:rFonts w:hint="eastAsia" w:ascii="宋体" w:hAnsi="宋体" w:eastAsia="方正仿宋_GBK"/>
          <w:color w:val="000000" w:themeColor="text1"/>
          <w:sz w:val="32"/>
          <w:szCs w:val="32"/>
          <w:highlight w:val="none"/>
          <w:u w:val="none"/>
          <w14:textFill>
            <w14:solidFill>
              <w14:schemeClr w14:val="tx1"/>
            </w14:solidFill>
          </w14:textFill>
        </w:rPr>
        <w:t>月</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完成市重点项目投资29.25亿元，完成率</w:t>
      </w:r>
      <w:r>
        <w:rPr>
          <w:rFonts w:hint="eastAsia" w:ascii="宋体" w:hAnsi="宋体" w:eastAsia="方正楷体_GBK" w:cs="方正楷体_GBK"/>
          <w:color w:val="000000" w:themeColor="text1"/>
          <w:sz w:val="24"/>
          <w:szCs w:val="24"/>
          <w:highlight w:val="none"/>
          <w:u w:val="none"/>
          <w:lang w:val="en-US" w:eastAsia="zh-CN"/>
          <w14:textFill>
            <w14:solidFill>
              <w14:schemeClr w14:val="tx1"/>
            </w14:solidFill>
          </w14:textFill>
        </w:rPr>
        <w:t>（年度目标的146%）</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全区第一。</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三</w:t>
      </w:r>
      <w:r>
        <w:rPr>
          <w:rFonts w:hint="eastAsia" w:ascii="宋体" w:hAnsi="宋体" w:eastAsia="方正仿宋_GBK"/>
          <w:b/>
          <w:color w:val="000000" w:themeColor="text1"/>
          <w:sz w:val="32"/>
          <w:szCs w:val="32"/>
          <w:highlight w:val="none"/>
          <w:u w:val="none"/>
          <w14:textFill>
            <w14:solidFill>
              <w14:schemeClr w14:val="tx1"/>
            </w14:solidFill>
          </w14:textFill>
        </w:rPr>
        <w:t>是</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产业后劲积势蓄能。</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围绕生命健康、文化旅游、先进制造、低空经济等领域，招引落地超翼科技eVTOL总部和生产基地、玄刃科技总部、翠山嘉美艺术中心等重大项目5只，有序推进领健总部、导流式汽封智能核心装备制造、国药智能装备生产中心产业园等在谈项目8只。1-9月，新招引注册资本1000万元以上的规模企业60家，到位注册资本约4.27亿元。完成新招引总投资10亿元以上重大产业项目2个</w:t>
      </w:r>
      <w:r>
        <w:rPr>
          <w:rFonts w:hint="eastAsia" w:ascii="宋体" w:hAnsi="宋体" w:eastAsia="方正楷体_GBK" w:cs="方正楷体_GBK"/>
          <w:b w:val="0"/>
          <w:bCs/>
          <w:color w:val="000000" w:themeColor="text1"/>
          <w:sz w:val="24"/>
          <w:szCs w:val="24"/>
          <w:highlight w:val="none"/>
          <w:u w:val="none"/>
          <w:lang w:val="en-US" w:eastAsia="zh-CN"/>
          <w14:textFill>
            <w14:solidFill>
              <w14:schemeClr w14:val="tx1"/>
            </w14:solidFill>
          </w14:textFill>
        </w:rPr>
        <w:t>（超翼科技项目、二次碱锰电池研发产业化项目）</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w:t>
      </w:r>
    </w:p>
    <w:p>
      <w:pPr>
        <w:spacing w:line="592" w:lineRule="exact"/>
        <w:ind w:firstLine="643" w:firstLineChars="200"/>
        <w:rPr>
          <w:rFonts w:hint="default" w:ascii="宋体" w:hAnsi="宋体" w:eastAsia="方正仿宋_GBK"/>
          <w:color w:val="000000" w:themeColor="text1"/>
          <w:sz w:val="32"/>
          <w:szCs w:val="32"/>
          <w:highlight w:val="none"/>
          <w:u w:val="none"/>
          <w:lang w:val="en-US" w:eastAsia="zh-CN"/>
          <w14:textFill>
            <w14:solidFill>
              <w14:schemeClr w14:val="tx1"/>
            </w14:solidFill>
          </w14:textFill>
        </w:rPr>
      </w:pPr>
      <w:r>
        <w:rPr>
          <w:rFonts w:hint="eastAsia" w:ascii="宋体" w:hAnsi="宋体" w:eastAsia="方正楷体_GBK"/>
          <w:b/>
          <w:color w:val="000000" w:themeColor="text1"/>
          <w:sz w:val="32"/>
          <w:szCs w:val="32"/>
          <w:highlight w:val="none"/>
          <w:u w:val="none"/>
          <w14:textFill>
            <w14:solidFill>
              <w14:schemeClr w14:val="tx1"/>
            </w14:solidFill>
          </w14:textFill>
        </w:rPr>
        <w:t>（二）</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坚持创新引领、改革赋能</w:t>
      </w:r>
      <w:r>
        <w:rPr>
          <w:rFonts w:hint="eastAsia" w:ascii="宋体" w:hAnsi="宋体" w:eastAsia="方正楷体_GBK"/>
          <w:b/>
          <w:color w:val="000000" w:themeColor="text1"/>
          <w:sz w:val="32"/>
          <w:szCs w:val="32"/>
          <w:highlight w:val="none"/>
          <w:u w:val="none"/>
          <w14:textFill>
            <w14:solidFill>
              <w14:schemeClr w14:val="tx1"/>
            </w14:solidFill>
          </w14:textFill>
        </w:rPr>
        <w:t>，</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发展质效稳中提优</w:t>
      </w:r>
      <w:r>
        <w:rPr>
          <w:rFonts w:hint="eastAsia" w:ascii="宋体" w:hAnsi="宋体" w:eastAsia="方正楷体_GBK"/>
          <w:b/>
          <w:color w:val="000000" w:themeColor="text1"/>
          <w:sz w:val="32"/>
          <w:szCs w:val="32"/>
          <w:highlight w:val="none"/>
          <w:u w:val="none"/>
          <w14:textFill>
            <w14:solidFill>
              <w14:schemeClr w14:val="tx1"/>
            </w14:solidFill>
          </w14:textFill>
        </w:rPr>
        <w:t>。</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一是科创动能持续涌流</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持续巩固企业创新主体地位，</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获评国家级专精特新企业2家、五星级上云2家、省级智能车间6家、</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市级绿色工厂3家，新增科技型企业130家。申报高企68家，申报率</w:t>
      </w:r>
      <w:r>
        <w:rPr>
          <w:rFonts w:hint="eastAsia" w:ascii="宋体" w:hAnsi="宋体" w:eastAsia="方正楷体_GBK" w:cs="方正楷体_GBK"/>
          <w:color w:val="000000" w:themeColor="text1"/>
          <w:sz w:val="24"/>
          <w:szCs w:val="24"/>
          <w:highlight w:val="none"/>
          <w:u w:val="none"/>
          <w:lang w:val="en-US" w:eastAsia="zh-CN"/>
          <w14:textFill>
            <w14:solidFill>
              <w14:schemeClr w14:val="tx1"/>
            </w14:solidFill>
          </w14:textFill>
        </w:rPr>
        <w:t>（102.2%）</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全区第一，成功迁入滨湖首家市外高企</w:t>
      </w:r>
      <w:r>
        <w:rPr>
          <w:rFonts w:hint="eastAsia" w:ascii="宋体" w:hAnsi="宋体" w:eastAsia="方正楷体_GBK" w:cs="方正楷体_GBK"/>
          <w:color w:val="000000" w:themeColor="text1"/>
          <w:sz w:val="24"/>
          <w:szCs w:val="24"/>
          <w:highlight w:val="none"/>
          <w:u w:val="none"/>
          <w:lang w:val="en-US" w:eastAsia="zh-CN"/>
          <w14:textFill>
            <w14:solidFill>
              <w14:schemeClr w14:val="tx1"/>
            </w14:solidFill>
          </w14:textFill>
        </w:rPr>
        <w:t>（班戈设备系统（苏州）有限公司）</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。强化创新人才引育，申报国家重大人才工程A类44人、博士后专项13人，省“双创”项目创新人才3人、创业人才2人、创新团队1个，市“太湖人才”项目创新类4人、创业类2人。</w:t>
      </w:r>
      <w:r>
        <w:rPr>
          <w:rFonts w:hint="eastAsia" w:ascii="宋体" w:hAnsi="宋体" w:eastAsia="方正仿宋_GBK"/>
          <w:b/>
          <w:bCs/>
          <w:color w:val="000000" w:themeColor="text1"/>
          <w:sz w:val="32"/>
          <w:szCs w:val="32"/>
          <w:highlight w:val="none"/>
          <w:u w:val="none"/>
          <w14:textFill>
            <w14:solidFill>
              <w14:schemeClr w14:val="tx1"/>
            </w14:solidFill>
          </w14:textFill>
        </w:rPr>
        <w:t>二是</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改革攻坚持续推进</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严格控制年度支出总量，出台《度假区严格落实党政机关过紧日子要求若干措施》，针对不同主体调整全面预算管理实施细则。深化国资国企改革，</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制定完善</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马山投控</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集团</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三重一大</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”决策</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制度</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等文件</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有序推进</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下属8家实体化子公司</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市场化运营；强化对马山投控集团和灵山集团的分类监管，将灵山系公司纳入国资监管体系。持续提升资产管理效能，完善资产租赁指导价制定，理顺具有经营功能的资产委托管理关系。</w:t>
      </w:r>
      <w:r>
        <w:rPr>
          <w:rFonts w:hint="eastAsia" w:ascii="宋体" w:hAnsi="宋体" w:eastAsia="方正仿宋_GBK"/>
          <w:b/>
          <w:bCs/>
          <w:color w:val="000000" w:themeColor="text1"/>
          <w:sz w:val="32"/>
          <w:szCs w:val="32"/>
          <w:highlight w:val="none"/>
          <w:u w:val="none"/>
          <w14:textFill>
            <w14:solidFill>
              <w14:schemeClr w14:val="tx1"/>
            </w14:solidFill>
          </w14:textFill>
        </w:rPr>
        <w:t>三</w:t>
      </w:r>
      <w:r>
        <w:rPr>
          <w:rFonts w:hint="eastAsia" w:ascii="宋体" w:hAnsi="宋体" w:eastAsia="方正仿宋_GBK"/>
          <w:b/>
          <w:color w:val="000000" w:themeColor="text1"/>
          <w:sz w:val="32"/>
          <w:szCs w:val="32"/>
          <w:highlight w:val="none"/>
          <w:u w:val="none"/>
          <w14:textFill>
            <w14:solidFill>
              <w14:schemeClr w14:val="tx1"/>
            </w14:solidFill>
          </w14:textFill>
        </w:rPr>
        <w:t>是</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要素保障持续完善</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加大政策扶持力度，</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制定《关于无锡太湖国家旅游度假区融入太湖湾科创带引进区建设的政策意见》，并推动全区三类医疗器械注册证奖补政策性突破。加大金融赋能力度，与锡创投合作设立滨湖锡创健康基金，对健适医疗、智康弘义等重点培育企业累计出资达7250万元，并做好国联国康等基金投后管理工作。</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全力开展土地收储工作，高端智能装备、合成生物装备基地、电力设备基地、碧波新村等地块完成市政府征地转用批复，截至目前已出让工业用地4幅，出让数量排名全区第一。</w:t>
      </w:r>
    </w:p>
    <w:p>
      <w:pPr>
        <w:topLinePunct/>
        <w:spacing w:line="592" w:lineRule="exact"/>
        <w:ind w:firstLine="643" w:firstLineChars="200"/>
        <w:rPr>
          <w:rFonts w:ascii="宋体" w:hAnsi="宋体" w:eastAsia="方正仿宋_GBK"/>
          <w:color w:val="000000" w:themeColor="text1"/>
          <w:sz w:val="32"/>
          <w:szCs w:val="30"/>
          <w:highlight w:val="none"/>
          <w:u w:val="none"/>
          <w14:textFill>
            <w14:solidFill>
              <w14:schemeClr w14:val="tx1"/>
            </w14:solidFill>
          </w14:textFill>
        </w:rPr>
      </w:pPr>
      <w:r>
        <w:rPr>
          <w:rFonts w:hint="eastAsia" w:ascii="宋体" w:hAnsi="宋体" w:eastAsia="方正楷体_GBK"/>
          <w:b/>
          <w:color w:val="000000" w:themeColor="text1"/>
          <w:sz w:val="32"/>
          <w:szCs w:val="32"/>
          <w:highlight w:val="none"/>
          <w:u w:val="none"/>
          <w14:textFill>
            <w14:solidFill>
              <w14:schemeClr w14:val="tx1"/>
            </w14:solidFill>
          </w14:textFill>
        </w:rPr>
        <w:t>（三）</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坚持生态筑基、区域统筹，城乡面貌焕彩出新</w:t>
      </w:r>
      <w:r>
        <w:rPr>
          <w:rFonts w:hint="eastAsia" w:ascii="宋体" w:hAnsi="宋体" w:eastAsia="方正楷体_GBK"/>
          <w:b/>
          <w:color w:val="000000" w:themeColor="text1"/>
          <w:sz w:val="32"/>
          <w:szCs w:val="32"/>
          <w:highlight w:val="none"/>
          <w:u w:val="none"/>
          <w14:textFill>
            <w14:solidFill>
              <w14:schemeClr w14:val="tx1"/>
            </w14:solidFill>
          </w14:textFill>
        </w:rPr>
        <w:t>。</w:t>
      </w:r>
      <w:r>
        <w:rPr>
          <w:rFonts w:hint="eastAsia" w:ascii="宋体" w:hAnsi="宋体" w:eastAsia="方正仿宋_GBK"/>
          <w:b/>
          <w:color w:val="000000" w:themeColor="text1"/>
          <w:sz w:val="32"/>
          <w:szCs w:val="32"/>
          <w:highlight w:val="none"/>
          <w:u w:val="none"/>
          <w14:textFill>
            <w14:solidFill>
              <w14:schemeClr w14:val="tx1"/>
            </w14:solidFill>
          </w14:textFill>
        </w:rPr>
        <w:t>一是</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绿色生态底蕴更加浓厚</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严格落实“三线一单”管控要求，1-9月完成</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华润分布式能源、方盛换热器改扩建等26个项目环评审批。</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有序推进治太工程</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，钱家渎精品河道创建、马圩片区雨污水管网提升改造</w:t>
      </w:r>
      <w:r>
        <w:rPr>
          <w:rFonts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等</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8</w:t>
      </w:r>
      <w:r>
        <w:rPr>
          <w:rFonts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项工程启动实施</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，中心横河精品河道创建项目、七里风光堤提升改造项目</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预计年内</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启动建设。</w:t>
      </w:r>
      <w:r>
        <w:rPr>
          <w:rFonts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1-</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9</w:t>
      </w:r>
      <w:r>
        <w:rPr>
          <w:rFonts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月</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直湖港省考断面水质累计达到Ⅱ类</w:t>
      </w:r>
      <w:r>
        <w:rPr>
          <w:rFonts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深化“无废城市”建设，完成45家小微企业危险废物集中收集试点、6家“无废细胞”创建。</w:t>
      </w:r>
      <w:r>
        <w:rPr>
          <w:rFonts w:hint="eastAsia" w:ascii="宋体" w:hAnsi="宋体" w:eastAsia="方正仿宋_GBK"/>
          <w:color w:val="000000" w:themeColor="text1"/>
          <w:sz w:val="32"/>
          <w:szCs w:val="32"/>
          <w:highlight w:val="none"/>
          <w:u w:val="none"/>
          <w14:textFill>
            <w14:solidFill>
              <w14:schemeClr w14:val="tx1"/>
            </w14:solidFill>
          </w14:textFill>
        </w:rPr>
        <w:t>二</w:t>
      </w:r>
      <w:r>
        <w:rPr>
          <w:rFonts w:hint="eastAsia" w:ascii="宋体" w:hAnsi="宋体" w:eastAsia="方正仿宋_GBK"/>
          <w:b/>
          <w:color w:val="000000" w:themeColor="text1"/>
          <w:sz w:val="32"/>
          <w:szCs w:val="32"/>
          <w:highlight w:val="none"/>
          <w:u w:val="none"/>
          <w14:textFill>
            <w14:solidFill>
              <w14:schemeClr w14:val="tx1"/>
            </w14:solidFill>
          </w14:textFill>
        </w:rPr>
        <w:t>是</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空间谋划布局更加合理</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围绕科学布局生产、生活、生态“三生空间”，开展自然资源空间格局研究编制，预计年内完成规划论证。基本完成马圩区域城市设计成果，加速启动马圩控规修编工作。完善马山景区详规调整，力争明年获得批复。古竹、群丰、嶂青等6个社区完成村庄规划编制论证，力争年内获得市政府批复。</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1-9月</w:t>
      </w:r>
      <w:r>
        <w:rPr>
          <w:rFonts w:hint="eastAsia" w:ascii="宋体" w:hAnsi="宋体" w:eastAsia="方正仿宋_GBK"/>
          <w:color w:val="000000" w:themeColor="text1"/>
          <w:sz w:val="32"/>
          <w:szCs w:val="32"/>
          <w:highlight w:val="none"/>
          <w:u w:val="none"/>
          <w14:textFill>
            <w14:solidFill>
              <w14:schemeClr w14:val="tx1"/>
            </w14:solidFill>
          </w14:textFill>
        </w:rPr>
        <w:t>，完成地块房屋征收总建筑面积</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8.56</w:t>
      </w:r>
      <w:r>
        <w:rPr>
          <w:rFonts w:hint="eastAsia" w:ascii="宋体" w:hAnsi="宋体" w:eastAsia="方正仿宋_GBK"/>
          <w:color w:val="000000" w:themeColor="text1"/>
          <w:sz w:val="32"/>
          <w:szCs w:val="32"/>
          <w:highlight w:val="none"/>
          <w:u w:val="none"/>
          <w14:textFill>
            <w14:solidFill>
              <w14:schemeClr w14:val="tx1"/>
            </w14:solidFill>
          </w14:textFill>
        </w:rPr>
        <w:t>万</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w:t>
      </w:r>
      <w:r>
        <w:rPr>
          <w:rFonts w:hint="eastAsia" w:ascii="宋体" w:hAnsi="宋体" w:eastAsia="方正仿宋_GBK"/>
          <w:color w:val="000000" w:themeColor="text1"/>
          <w:sz w:val="32"/>
          <w:szCs w:val="32"/>
          <w:highlight w:val="none"/>
          <w:u w:val="none"/>
          <w14:textFill>
            <w14:solidFill>
              <w14:schemeClr w14:val="tx1"/>
            </w14:solidFill>
          </w14:textFill>
        </w:rPr>
        <w:t>，鑫致远项目地块、华瑞仓库地块、国联八棉庆发纺织地块</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3</w:t>
      </w:r>
      <w:r>
        <w:rPr>
          <w:rFonts w:hint="eastAsia" w:ascii="宋体" w:hAnsi="宋体" w:eastAsia="方正仿宋_GBK"/>
          <w:color w:val="000000" w:themeColor="text1"/>
          <w:sz w:val="32"/>
          <w:szCs w:val="32"/>
          <w:highlight w:val="none"/>
          <w:u w:val="none"/>
          <w14:textFill>
            <w14:solidFill>
              <w14:schemeClr w14:val="tx1"/>
            </w14:solidFill>
          </w14:textFill>
        </w:rPr>
        <w:t>个市级攻坚拔点项目全部完成</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确保</w:t>
      </w:r>
      <w:r>
        <w:rPr>
          <w:rFonts w:hint="eastAsia" w:ascii="宋体" w:hAnsi="宋体" w:eastAsia="方正仿宋_GBK"/>
          <w:color w:val="000000" w:themeColor="text1"/>
          <w:sz w:val="32"/>
          <w:szCs w:val="32"/>
          <w:highlight w:val="none"/>
          <w:u w:val="none"/>
          <w14:textFill>
            <w14:solidFill>
              <w14:schemeClr w14:val="tx1"/>
            </w14:solidFill>
          </w14:textFill>
        </w:rPr>
        <w:t>完成</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全年</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10</w:t>
      </w:r>
      <w:r>
        <w:rPr>
          <w:rFonts w:hint="eastAsia" w:ascii="宋体" w:hAnsi="宋体" w:eastAsia="方正仿宋_GBK"/>
          <w:color w:val="000000" w:themeColor="text1"/>
          <w:sz w:val="32"/>
          <w:szCs w:val="32"/>
          <w:highlight w:val="none"/>
          <w:u w:val="none"/>
          <w14:textFill>
            <w14:solidFill>
              <w14:schemeClr w14:val="tx1"/>
            </w14:solidFill>
          </w14:textFill>
        </w:rPr>
        <w:t>万</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㎡征收任务</w:t>
      </w:r>
      <w:r>
        <w:rPr>
          <w:rFonts w:hint="eastAsia" w:ascii="宋体" w:hAnsi="宋体" w:eastAsia="方正仿宋_GBK"/>
          <w:color w:val="000000" w:themeColor="text1"/>
          <w:sz w:val="32"/>
          <w:szCs w:val="32"/>
          <w:highlight w:val="none"/>
          <w:u w:val="none"/>
          <w14:textFill>
            <w14:solidFill>
              <w14:schemeClr w14:val="tx1"/>
            </w14:solidFill>
          </w14:textFill>
        </w:rPr>
        <w:t>。</w:t>
      </w:r>
      <w:r>
        <w:rPr>
          <w:rFonts w:hint="eastAsia" w:ascii="宋体" w:hAnsi="宋体" w:eastAsia="方正仿宋_GBK"/>
          <w:b/>
          <w:bCs/>
          <w:color w:val="000000" w:themeColor="text1"/>
          <w:sz w:val="32"/>
          <w:szCs w:val="32"/>
          <w:highlight w:val="none"/>
          <w:u w:val="none"/>
          <w14:textFill>
            <w14:solidFill>
              <w14:schemeClr w14:val="tx1"/>
            </w14:solidFill>
          </w14:textFill>
        </w:rPr>
        <w:t>三是</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城乡功能品质更加优越</w:t>
      </w:r>
      <w:r>
        <w:rPr>
          <w:rFonts w:hint="eastAsia" w:ascii="宋体" w:hAnsi="宋体" w:eastAsia="方正仿宋_GBK"/>
          <w:b/>
          <w:bCs/>
          <w:color w:val="000000" w:themeColor="text1"/>
          <w:sz w:val="32"/>
          <w:szCs w:val="32"/>
          <w:highlight w:val="none"/>
          <w:u w:val="none"/>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睦邻中心正式运营。华东师范大学附属无锡滨湖学校正式启用。海吉亚医院预计年底主体封顶。十里明珠堤景观提升工程、碧波路新建工程、</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农田连片整治二期</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项目已竣工，</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庙下优品村</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项目预计今年11月竣工，振兴街改造、</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南湾村路改造、常乐路改造</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庙西亲子农庄等项目</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有序</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推进。</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马山街道获评</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最干净街道半年度考核全区第一名</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古竹获评</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省级特色田园乡村，</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群丰、和平获评</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江苏省宜居宜业和美乡村。古竹大桥桥下空间</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获评</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滨湖区城市精细化管理二季度“优秀项目”。</w:t>
      </w:r>
    </w:p>
    <w:p>
      <w:pPr>
        <w:spacing w:line="592" w:lineRule="exact"/>
        <w:ind w:firstLine="643" w:firstLineChars="200"/>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pPr>
      <w:r>
        <w:rPr>
          <w:rFonts w:hint="eastAsia" w:ascii="宋体" w:hAnsi="宋体" w:eastAsia="方正楷体_GBK"/>
          <w:b/>
          <w:color w:val="000000" w:themeColor="text1"/>
          <w:sz w:val="32"/>
          <w:szCs w:val="32"/>
          <w:highlight w:val="none"/>
          <w:u w:val="none"/>
          <w14:textFill>
            <w14:solidFill>
              <w14:schemeClr w14:val="tx1"/>
            </w14:solidFill>
          </w14:textFill>
        </w:rPr>
        <w:t>（四）</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坚持以人为本、多元治理</w:t>
      </w:r>
      <w:r>
        <w:rPr>
          <w:rFonts w:hint="eastAsia" w:ascii="宋体" w:hAnsi="宋体" w:eastAsia="方正楷体_GBK"/>
          <w:b/>
          <w:color w:val="000000" w:themeColor="text1"/>
          <w:sz w:val="32"/>
          <w:szCs w:val="32"/>
          <w:highlight w:val="none"/>
          <w:u w:val="none"/>
          <w14:textFill>
            <w14:solidFill>
              <w14:schemeClr w14:val="tx1"/>
            </w14:solidFill>
          </w14:textFill>
        </w:rPr>
        <w:t>，民生福祉</w:t>
      </w:r>
      <w:r>
        <w:rPr>
          <w:rFonts w:hint="eastAsia" w:ascii="宋体" w:hAnsi="宋体" w:eastAsia="方正楷体_GBK"/>
          <w:b/>
          <w:color w:val="000000" w:themeColor="text1"/>
          <w:sz w:val="32"/>
          <w:szCs w:val="32"/>
          <w:highlight w:val="none"/>
          <w:u w:val="none"/>
          <w:lang w:val="en-US" w:eastAsia="zh-CN"/>
          <w14:textFill>
            <w14:solidFill>
              <w14:schemeClr w14:val="tx1"/>
            </w14:solidFill>
          </w14:textFill>
        </w:rPr>
        <w:t>提标扩面</w:t>
      </w:r>
      <w:r>
        <w:rPr>
          <w:rFonts w:hint="eastAsia" w:ascii="宋体" w:hAnsi="宋体" w:eastAsia="方正楷体_GBK"/>
          <w:b/>
          <w:color w:val="000000" w:themeColor="text1"/>
          <w:sz w:val="32"/>
          <w:szCs w:val="32"/>
          <w:highlight w:val="none"/>
          <w:u w:val="none"/>
          <w14:textFill>
            <w14:solidFill>
              <w14:schemeClr w14:val="tx1"/>
            </w14:solidFill>
          </w14:textFill>
        </w:rPr>
        <w:t>。</w:t>
      </w:r>
      <w:r>
        <w:rPr>
          <w:rFonts w:hint="eastAsia" w:ascii="宋体" w:hAnsi="宋体" w:eastAsia="方正仿宋_GBK"/>
          <w:b/>
          <w:bCs/>
          <w:color w:val="000000" w:themeColor="text1"/>
          <w:sz w:val="32"/>
          <w:szCs w:val="32"/>
          <w:highlight w:val="none"/>
          <w:u w:val="none"/>
          <w14:textFill>
            <w14:solidFill>
              <w14:schemeClr w14:val="tx1"/>
            </w14:solidFill>
          </w14:textFill>
        </w:rPr>
        <w:t>一是</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兜底保障更全面</w:t>
      </w:r>
      <w:r>
        <w:rPr>
          <w:rFonts w:hint="eastAsia" w:ascii="宋体" w:hAnsi="宋体" w:eastAsia="方正仿宋_GBK"/>
          <w:b/>
          <w:bCs/>
          <w:color w:val="000000" w:themeColor="text1"/>
          <w:sz w:val="32"/>
          <w:szCs w:val="32"/>
          <w:highlight w:val="none"/>
          <w:u w:val="none"/>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持续做好精准救助帮扶工作，发放低保、困境儿童等各类民生专项资金29.1万元，推动“福村宝”居民医疗互助扩围增效，实现特殊困难群众关爱探访100%覆盖率。深</w:t>
      </w:r>
      <w:r>
        <w:rPr>
          <w:rFonts w:hint="eastAsia" w:ascii="宋体" w:hAnsi="宋体" w:eastAsia="方正仿宋_GBK"/>
          <w:color w:val="000000" w:themeColor="text1"/>
          <w:sz w:val="32"/>
          <w:szCs w:val="32"/>
          <w:highlight w:val="none"/>
          <w:u w:val="none"/>
          <w14:textFill>
            <w14:solidFill>
              <w14:schemeClr w14:val="tx1"/>
            </w14:solidFill>
          </w14:textFill>
        </w:rPr>
        <w:t>化养老服务机构标准化建设，</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实现</w:t>
      </w:r>
      <w:r>
        <w:rPr>
          <w:rFonts w:hint="eastAsia" w:ascii="宋体" w:hAnsi="宋体" w:eastAsia="方正仿宋_GBK"/>
          <w:color w:val="000000" w:themeColor="text1"/>
          <w:sz w:val="32"/>
          <w:szCs w:val="32"/>
          <w:highlight w:val="none"/>
          <w:u w:val="none"/>
          <w14:textFill>
            <w14:solidFill>
              <w14:schemeClr w14:val="tx1"/>
            </w14:solidFill>
          </w14:textFill>
        </w:rPr>
        <w:t>社区居家养老服务中心100%标准化率</w:t>
      </w:r>
      <w:r>
        <w:rPr>
          <w:rFonts w:hint="eastAsia" w:ascii="宋体" w:hAnsi="宋体" w:eastAsia="方正仿宋_GBK"/>
          <w:color w:val="000000" w:themeColor="text1"/>
          <w:sz w:val="32"/>
          <w:szCs w:val="32"/>
          <w:highlight w:val="none"/>
          <w:u w:val="none"/>
          <w:lang w:eastAsia="zh-CN"/>
          <w14:textFill>
            <w14:solidFill>
              <w14:schemeClr w14:val="tx1"/>
            </w14:solidFill>
          </w14:textFill>
        </w:rPr>
        <w:t>。高质量推进“幸福餐厅”</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建设</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实现所有社区老年人助餐服务全覆盖，助餐服务人数（次）全区第一，峰影助餐点申报区级示范性助餐点位、市级基层创新实践点。</w:t>
      </w:r>
      <w:r>
        <w:rPr>
          <w:rFonts w:hint="eastAsia" w:ascii="宋体" w:hAnsi="宋体" w:eastAsia="方正仿宋_GBK"/>
          <w:b/>
          <w:bCs/>
          <w:color w:val="000000" w:themeColor="text1"/>
          <w:sz w:val="32"/>
          <w:szCs w:val="32"/>
          <w:highlight w:val="none"/>
          <w:u w:val="none"/>
          <w14:textFill>
            <w14:solidFill>
              <w14:schemeClr w14:val="tx1"/>
            </w14:solidFill>
          </w14:textFill>
        </w:rPr>
        <w:t>二</w:t>
      </w:r>
      <w:r>
        <w:rPr>
          <w:rFonts w:hint="eastAsia" w:ascii="宋体" w:hAnsi="宋体" w:eastAsia="方正仿宋_GBK"/>
          <w:b/>
          <w:color w:val="000000" w:themeColor="text1"/>
          <w:sz w:val="32"/>
          <w:szCs w:val="32"/>
          <w:highlight w:val="none"/>
          <w:u w:val="none"/>
          <w14:textFill>
            <w14:solidFill>
              <w14:schemeClr w14:val="tx1"/>
            </w14:solidFill>
          </w14:textFill>
        </w:rPr>
        <w:t>是社区治理</w:t>
      </w:r>
      <w:r>
        <w:rPr>
          <w:rFonts w:hint="eastAsia" w:ascii="宋体" w:hAnsi="宋体" w:eastAsia="方正仿宋_GBK"/>
          <w:b/>
          <w:color w:val="000000" w:themeColor="text1"/>
          <w:sz w:val="32"/>
          <w:szCs w:val="32"/>
          <w:highlight w:val="none"/>
          <w:u w:val="none"/>
          <w:lang w:val="en-US" w:eastAsia="zh-CN"/>
          <w14:textFill>
            <w14:solidFill>
              <w14:schemeClr w14:val="tx1"/>
            </w14:solidFill>
          </w14:textFill>
        </w:rPr>
        <w:t>更高效</w:t>
      </w:r>
      <w:r>
        <w:rPr>
          <w:rFonts w:hint="eastAsia" w:ascii="宋体" w:hAnsi="宋体" w:eastAsia="方正仿宋_GBK"/>
          <w:b/>
          <w:color w:val="000000" w:themeColor="text1"/>
          <w:sz w:val="32"/>
          <w:szCs w:val="32"/>
          <w:highlight w:val="none"/>
          <w:u w:val="none"/>
          <w14:textFill>
            <w14:solidFill>
              <w14:schemeClr w14:val="tx1"/>
            </w14:solidFill>
          </w14:textFill>
        </w:rPr>
        <w:t>。</w:t>
      </w:r>
      <w:r>
        <w:rPr>
          <w:rFonts w:hint="eastAsia" w:ascii="宋体" w:hAnsi="宋体" w:eastAsia="方正仿宋_GBK" w:cs="Times New Roman"/>
          <w:color w:val="000000" w:themeColor="text1"/>
          <w:sz w:val="32"/>
          <w:szCs w:val="32"/>
          <w:highlight w:val="none"/>
          <w:u w:val="none"/>
          <w:lang w:val="en-US" w:eastAsia="zh-CN"/>
          <w14:textFill>
            <w14:solidFill>
              <w14:schemeClr w14:val="tx1"/>
            </w14:solidFill>
          </w14:textFill>
        </w:rPr>
        <w:t>全面推进“把支部建进小区”，深化“滨锋驿家”“红邻执法工作站”建设，制定“一区两员三站”实施方案，“乐睦家园”党群服务中心建成使用，小区治理效能不断提高。加快推进马山街道宜居住宅整治改造工程，针对朝霞新村、峰影苑、栖云苑、履丰苑等6个老旧小区的一期项目预计年底完工，针对乐山新村、梅梁新村、迎晖新村等5个老旧小区的二期项目已完成立项。深化“五社联动”机制，成立乐山“乐邻基金”、古竹“竹心同行”社区基金，高质量实施“头雁善治”社区治理创新及公益创投项目，2个公益创投项目入围区级项目。</w:t>
      </w:r>
      <w:r>
        <w:rPr>
          <w:rFonts w:hint="eastAsia" w:ascii="宋体" w:hAnsi="宋体" w:eastAsia="方正仿宋_GBK"/>
          <w:b/>
          <w:bCs/>
          <w:color w:val="000000" w:themeColor="text1"/>
          <w:sz w:val="32"/>
          <w:szCs w:val="32"/>
          <w:highlight w:val="none"/>
          <w:u w:val="none"/>
          <w14:textFill>
            <w14:solidFill>
              <w14:schemeClr w14:val="tx1"/>
            </w14:solidFill>
          </w14:textFill>
        </w:rPr>
        <w:t>三是</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安全稳定更有力</w:t>
      </w:r>
      <w:r>
        <w:rPr>
          <w:rFonts w:hint="eastAsia" w:ascii="宋体" w:hAnsi="宋体" w:eastAsia="方正仿宋_GBK"/>
          <w:b/>
          <w:bCs/>
          <w:color w:val="000000" w:themeColor="text1"/>
          <w:sz w:val="32"/>
          <w:szCs w:val="32"/>
          <w:highlight w:val="none"/>
          <w:u w:val="none"/>
          <w14:textFill>
            <w14:solidFill>
              <w14:schemeClr w14:val="tx1"/>
            </w14:solidFill>
          </w14:textFill>
        </w:rPr>
        <w:t>。</w:t>
      </w:r>
      <w:r>
        <w:rPr>
          <w:rFonts w:hint="eastAsia" w:ascii="宋体" w:hAnsi="宋体" w:eastAsia="方正仿宋_GBK"/>
          <w:b w:val="0"/>
          <w:bCs/>
          <w:color w:val="000000" w:themeColor="text1"/>
          <w:sz w:val="32"/>
          <w:szCs w:val="32"/>
          <w:highlight w:val="none"/>
          <w:u w:val="none"/>
          <w14:textFill>
            <w14:solidFill>
              <w14:schemeClr w14:val="tx1"/>
            </w14:solidFill>
          </w14:textFill>
        </w:rPr>
        <w:t>扎实推进度假区安全生产治本攻坚三年行动</w:t>
      </w:r>
      <w:r>
        <w:rPr>
          <w:rFonts w:hint="eastAsia" w:ascii="宋体" w:hAnsi="宋体" w:eastAsia="方正仿宋_GBK"/>
          <w:b w:val="0"/>
          <w:bCs/>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b w:val="0"/>
          <w:bCs/>
          <w:color w:val="000000" w:themeColor="text1"/>
          <w:sz w:val="32"/>
          <w:szCs w:val="32"/>
          <w:highlight w:val="none"/>
          <w:u w:val="none"/>
          <w14:textFill>
            <w14:solidFill>
              <w14:schemeClr w14:val="tx1"/>
            </w14:solidFill>
          </w14:textFill>
        </w:rPr>
        <w:t>2024</w:t>
      </w:r>
      <w:r>
        <w:rPr>
          <w:rFonts w:hint="eastAsia" w:ascii="宋体" w:hAnsi="宋体" w:eastAsia="方正仿宋_GBK"/>
          <w:b w:val="0"/>
          <w:bCs/>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b w:val="0"/>
          <w:bCs/>
          <w:color w:val="000000" w:themeColor="text1"/>
          <w:sz w:val="32"/>
          <w:szCs w:val="32"/>
          <w:highlight w:val="none"/>
          <w:u w:val="none"/>
          <w14:textFill>
            <w14:solidFill>
              <w14:schemeClr w14:val="tx1"/>
            </w14:solidFill>
          </w14:textFill>
        </w:rPr>
        <w:t>2026年</w:t>
      </w:r>
      <w:r>
        <w:rPr>
          <w:rFonts w:hint="eastAsia" w:ascii="宋体" w:hAnsi="宋体" w:eastAsia="方正仿宋_GBK"/>
          <w:b w:val="0"/>
          <w:bCs/>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b w:val="0"/>
          <w:bCs/>
          <w:color w:val="000000" w:themeColor="text1"/>
          <w:sz w:val="32"/>
          <w:szCs w:val="32"/>
          <w:highlight w:val="none"/>
          <w:u w:val="none"/>
          <w14:textFill>
            <w14:solidFill>
              <w14:schemeClr w14:val="tx1"/>
            </w14:solidFill>
          </w14:textFill>
        </w:rPr>
        <w:t>和2024年重点工作任务</w:t>
      </w:r>
      <w:r>
        <w:rPr>
          <w:rFonts w:hint="eastAsia" w:ascii="宋体" w:hAnsi="宋体" w:eastAsia="方正仿宋_GBK"/>
          <w:b w:val="0"/>
          <w:bCs/>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b w:val="0"/>
          <w:bCs/>
          <w:color w:val="000000" w:themeColor="text1"/>
          <w:sz w:val="32"/>
          <w:szCs w:val="32"/>
          <w:highlight w:val="none"/>
          <w:u w:val="none"/>
          <w:lang w:val="en-US" w:eastAsia="zh-CN"/>
          <w14:textFill>
            <w14:solidFill>
              <w14:schemeClr w14:val="tx1"/>
            </w14:solidFill>
          </w14:textFill>
        </w:rPr>
        <w:t>围绕住宅消防、电动车消防、“厂中厂”等重点领域加大安全风险防范化解，区域本质安全水平不断提升。全面建成“多网融合、多格整合”的一网治理架构，完成乐山、栖云和迎晖3个社区的网格调整，按照“一格一员”配齐专职网格员47人，不断提升社会治理精细化水</w:t>
      </w:r>
      <w:r>
        <w:rPr>
          <w:rFonts w:hint="eastAsia" w:ascii="宋体" w:hAnsi="宋体" w:eastAsia="方正仿宋_GBK" w:cs="Times New Roman"/>
          <w:b w:val="0"/>
          <w:bCs/>
          <w:color w:val="000000" w:themeColor="text1"/>
          <w:sz w:val="32"/>
          <w:szCs w:val="32"/>
          <w:highlight w:val="none"/>
          <w:u w:val="none"/>
          <w:lang w:val="en-US" w:eastAsia="zh-CN"/>
          <w14:textFill>
            <w14:solidFill>
              <w14:schemeClr w14:val="tx1"/>
            </w14:solidFill>
          </w14:textFill>
        </w:rPr>
        <w:t>平。认真做好群众来访接待工作，积极化解延期交房、民工讨薪等复杂群体性事项，截至9月底，共接待群众来访97批869人次，矛盾化解率、群众满意度保持高位。</w:t>
      </w:r>
    </w:p>
    <w:p>
      <w:pPr>
        <w:spacing w:line="592" w:lineRule="exact"/>
        <w:ind w:firstLine="643" w:firstLineChars="200"/>
        <w:rPr>
          <w:rFonts w:hint="default" w:ascii="宋体" w:hAnsi="宋体" w:eastAsia="方正仿宋_GBK"/>
          <w:color w:val="000000" w:themeColor="text1"/>
          <w:sz w:val="32"/>
          <w:szCs w:val="32"/>
          <w:highlight w:val="none"/>
          <w:u w:val="none"/>
          <w:lang w:val="en-US" w:eastAsia="zh-CN"/>
          <w14:textFill>
            <w14:solidFill>
              <w14:schemeClr w14:val="tx1"/>
            </w14:solidFill>
          </w14:textFill>
        </w:rPr>
      </w:pPr>
      <w:r>
        <w:rPr>
          <w:rFonts w:hint="eastAsia" w:ascii="宋体" w:hAnsi="宋体" w:eastAsia="方正楷体_GBK"/>
          <w:b/>
          <w:bCs/>
          <w:color w:val="000000" w:themeColor="text1"/>
          <w:sz w:val="32"/>
          <w:szCs w:val="32"/>
          <w:highlight w:val="none"/>
          <w:u w:val="none"/>
          <w14:textFill>
            <w14:solidFill>
              <w14:schemeClr w14:val="tx1"/>
            </w14:solidFill>
          </w14:textFill>
        </w:rPr>
        <w:t>（五）</w:t>
      </w:r>
      <w:r>
        <w:rPr>
          <w:rFonts w:hint="eastAsia" w:ascii="宋体" w:hAnsi="宋体" w:eastAsia="方正楷体_GBK"/>
          <w:b/>
          <w:bCs/>
          <w:color w:val="000000" w:themeColor="text1"/>
          <w:sz w:val="32"/>
          <w:szCs w:val="32"/>
          <w:highlight w:val="none"/>
          <w:u w:val="none"/>
          <w:lang w:val="en-US" w:eastAsia="zh-CN"/>
          <w14:textFill>
            <w14:solidFill>
              <w14:schemeClr w14:val="tx1"/>
            </w14:solidFill>
          </w14:textFill>
        </w:rPr>
        <w:t>坚持党建铸魂、提能善政，作风建设走深走实</w:t>
      </w:r>
      <w:r>
        <w:rPr>
          <w:rFonts w:hint="eastAsia" w:ascii="宋体" w:hAnsi="宋体" w:eastAsia="方正楷体_GBK"/>
          <w:b/>
          <w:bCs/>
          <w:color w:val="000000" w:themeColor="text1"/>
          <w:sz w:val="32"/>
          <w:szCs w:val="32"/>
          <w:highlight w:val="none"/>
          <w:u w:val="none"/>
          <w14:textFill>
            <w14:solidFill>
              <w14:schemeClr w14:val="tx1"/>
            </w14:solidFill>
          </w14:textFill>
        </w:rPr>
        <w:t>。</w:t>
      </w:r>
      <w:r>
        <w:rPr>
          <w:rFonts w:hint="eastAsia" w:ascii="宋体" w:hAnsi="宋体" w:eastAsia="方正仿宋_GBK"/>
          <w:b/>
          <w:bCs/>
          <w:color w:val="000000" w:themeColor="text1"/>
          <w:sz w:val="32"/>
          <w:szCs w:val="32"/>
          <w:highlight w:val="none"/>
          <w:u w:val="none"/>
          <w14:textFill>
            <w14:solidFill>
              <w14:schemeClr w14:val="tx1"/>
            </w14:solidFill>
          </w14:textFill>
        </w:rPr>
        <w:t>一是</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夯实意识形态阵地</w:t>
      </w:r>
      <w:r>
        <w:rPr>
          <w:rFonts w:hint="eastAsia" w:ascii="宋体" w:hAnsi="宋体" w:eastAsia="方正仿宋_GBK"/>
          <w:b/>
          <w:bCs/>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围绕党的二十大及各次全会精神等内容</w:t>
      </w:r>
      <w:r>
        <w:rPr>
          <w:rFonts w:hint="eastAsia" w:ascii="宋体" w:hAnsi="宋体" w:eastAsia="方正仿宋_GBK"/>
          <w:color w:val="000000" w:themeColor="text1"/>
          <w:sz w:val="32"/>
          <w:szCs w:val="32"/>
          <w:highlight w:val="none"/>
          <w:u w:val="none"/>
          <w14:textFill>
            <w14:solidFill>
              <w14:schemeClr w14:val="tx1"/>
            </w14:solidFill>
          </w14:textFill>
        </w:rPr>
        <w:t>，召开党工委中心组学习</w:t>
      </w:r>
      <w:r>
        <w:rPr>
          <w:rFonts w:hint="eastAsia" w:ascii="宋体" w:hAnsi="宋体" w:eastAsia="方正仿宋_GBK" w:cs="宋体"/>
          <w:color w:val="000000" w:themeColor="text1"/>
          <w:sz w:val="32"/>
          <w:szCs w:val="32"/>
          <w:highlight w:val="none"/>
          <w:u w:val="none"/>
          <w:lang w:val="en-US" w:eastAsia="zh-CN"/>
          <w14:textFill>
            <w14:solidFill>
              <w14:schemeClr w14:val="tx1"/>
            </w14:solidFill>
          </w14:textFill>
        </w:rPr>
        <w:t>13</w:t>
      </w:r>
      <w:r>
        <w:rPr>
          <w:rFonts w:hint="eastAsia" w:ascii="宋体" w:hAnsi="宋体" w:eastAsia="方正仿宋_GBK"/>
          <w:color w:val="000000" w:themeColor="text1"/>
          <w:sz w:val="32"/>
          <w:szCs w:val="32"/>
          <w:highlight w:val="none"/>
          <w:u w:val="none"/>
          <w14:textFill>
            <w14:solidFill>
              <w14:schemeClr w14:val="tx1"/>
            </w14:solidFill>
          </w14:textFill>
        </w:rPr>
        <w:t>次，举办“一把手”上党课</w:t>
      </w:r>
      <w:r>
        <w:rPr>
          <w:rFonts w:ascii="宋体" w:hAnsi="宋体" w:cs="宋体"/>
          <w:color w:val="000000" w:themeColor="text1"/>
          <w:sz w:val="32"/>
          <w:szCs w:val="32"/>
          <w:highlight w:val="none"/>
          <w:u w:val="none"/>
          <w14:textFill>
            <w14:solidFill>
              <w14:schemeClr w14:val="tx1"/>
            </w14:solidFill>
          </w14:textFill>
        </w:rPr>
        <w:t>2</w:t>
      </w:r>
      <w:r>
        <w:rPr>
          <w:rFonts w:hint="eastAsia" w:ascii="宋体" w:hAnsi="宋体" w:eastAsia="方正仿宋_GBK"/>
          <w:color w:val="000000" w:themeColor="text1"/>
          <w:sz w:val="32"/>
          <w:szCs w:val="32"/>
          <w:highlight w:val="none"/>
          <w:u w:val="none"/>
          <w14:textFill>
            <w14:solidFill>
              <w14:schemeClr w14:val="tx1"/>
            </w14:solidFill>
          </w14:textFill>
        </w:rPr>
        <w:t>次，听取意识形态工作情况汇报1次，意识形态专题学习2次。</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深化“读懂马山”全民阅读品牌，“读懂马山·湖蕴千年”阅读马拉松活动被认证为省级一类公益阅读推广活动。深化主流媒体合作，马山被央视等省级以上媒体宣传报道40余次。</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魅力马山</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微信公众号</w:t>
      </w:r>
      <w:r>
        <w:rPr>
          <w:rFonts w:hint="eastAsia" w:ascii="宋体" w:hAnsi="宋体" w:eastAsia="方正仿宋_GBK"/>
          <w:color w:val="000000" w:themeColor="text1"/>
          <w:sz w:val="32"/>
          <w:szCs w:val="32"/>
          <w:highlight w:val="none"/>
          <w:u w:val="none"/>
          <w14:textFill>
            <w14:solidFill>
              <w14:schemeClr w14:val="tx1"/>
            </w14:solidFill>
          </w14:textFill>
        </w:rPr>
        <w:t>在全市乡镇街道新媒体影响力中保持</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前列。</w:t>
      </w:r>
      <w:r>
        <w:rPr>
          <w:rFonts w:hint="eastAsia" w:ascii="宋体" w:hAnsi="宋体" w:eastAsia="方正仿宋_GBK"/>
          <w:b/>
          <w:bCs/>
          <w:color w:val="000000" w:themeColor="text1"/>
          <w:sz w:val="32"/>
          <w:szCs w:val="32"/>
          <w:highlight w:val="none"/>
          <w:u w:val="none"/>
          <w14:textFill>
            <w14:solidFill>
              <w14:schemeClr w14:val="tx1"/>
            </w14:solidFill>
          </w14:textFill>
        </w:rPr>
        <w:t>二是</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筑牢坚强组织堡垒</w:t>
      </w:r>
      <w:r>
        <w:rPr>
          <w:rFonts w:hint="eastAsia" w:ascii="宋体" w:hAnsi="宋体" w:eastAsia="方正仿宋_GBK"/>
          <w:b/>
          <w:bCs/>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动态建优“1135”干部队伍，严格按照程序提拔干部50人</w:t>
      </w:r>
      <w:r>
        <w:rPr>
          <w:rFonts w:hint="eastAsia" w:ascii="宋体" w:hAnsi="宋体" w:eastAsia="方正楷体_GBK" w:cs="方正楷体_GBK"/>
          <w:b w:val="0"/>
          <w:bCs/>
          <w:color w:val="000000" w:themeColor="text1"/>
          <w:sz w:val="24"/>
          <w:szCs w:val="24"/>
          <w:highlight w:val="none"/>
          <w:u w:val="none"/>
          <w:lang w:val="en-US" w:eastAsia="zh-CN"/>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新招录公务员1名、选调生1名、事业人员6名。加快推进“吾+”人才安居工程，建成及在建人才公寓493套，设立无锡滨湖国际引才站（日本站），筑巢引凤打造人才高地。</w:t>
      </w:r>
      <w:r>
        <w:rPr>
          <w:rFonts w:hint="eastAsia" w:ascii="宋体" w:hAnsi="宋体" w:eastAsia="方正仿宋_GBK"/>
          <w:color w:val="000000" w:themeColor="text1"/>
          <w:sz w:val="32"/>
          <w:szCs w:val="32"/>
          <w:highlight w:val="none"/>
          <w:u w:val="none"/>
          <w14:textFill>
            <w14:solidFill>
              <w14:schemeClr w14:val="tx1"/>
            </w14:solidFill>
          </w14:textFill>
        </w:rPr>
        <w:t>灵山“又见山”党建馆</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正式</w:t>
      </w:r>
      <w:r>
        <w:rPr>
          <w:rFonts w:hint="eastAsia" w:ascii="宋体" w:hAnsi="宋体" w:eastAsia="方正仿宋_GBK"/>
          <w:color w:val="000000" w:themeColor="text1"/>
          <w:sz w:val="32"/>
          <w:szCs w:val="32"/>
          <w:highlight w:val="none"/>
          <w:u w:val="none"/>
          <w14:textFill>
            <w14:solidFill>
              <w14:schemeClr w14:val="tx1"/>
            </w14:solidFill>
          </w14:textFill>
        </w:rPr>
        <w:t>开馆</w:t>
      </w:r>
      <w:r>
        <w:rPr>
          <w:rFonts w:hint="eastAsia" w:ascii="宋体" w:hAnsi="宋体" w:eastAsia="方正仿宋_GBK"/>
          <w:color w:val="000000" w:themeColor="text1"/>
          <w:sz w:val="32"/>
          <w:szCs w:val="32"/>
          <w:highlight w:val="none"/>
          <w:u w:val="none"/>
          <w:lang w:eastAsia="zh-CN"/>
          <w14:textFill>
            <w14:solidFill>
              <w14:schemeClr w14:val="tx1"/>
            </w14:solidFill>
          </w14:textFill>
        </w:rPr>
        <w:t>，外包区工会联合会</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获评</w:t>
      </w:r>
      <w:r>
        <w:rPr>
          <w:rFonts w:hint="eastAsia" w:ascii="宋体" w:hAnsi="宋体" w:eastAsia="方正仿宋_GBK"/>
          <w:color w:val="000000" w:themeColor="text1"/>
          <w:sz w:val="32"/>
          <w:szCs w:val="32"/>
          <w:highlight w:val="none"/>
          <w:u w:val="none"/>
          <w:lang w:eastAsia="zh-CN"/>
          <w14:textFill>
            <w14:solidFill>
              <w14:schemeClr w14:val="tx1"/>
            </w14:solidFill>
          </w14:textFill>
        </w:rPr>
        <w:t>“全国模范职工之家”，外包区侨胞之家获评市级五星侨胞之家，龙头渚公园获评市级华侨文化交流基地。高质量完成年度征兵任务，本科毕业生比例、二次入伍人数均</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居</w:t>
      </w:r>
      <w:r>
        <w:rPr>
          <w:rFonts w:hint="eastAsia" w:ascii="宋体" w:hAnsi="宋体" w:eastAsia="方正仿宋_GBK"/>
          <w:color w:val="000000" w:themeColor="text1"/>
          <w:sz w:val="32"/>
          <w:szCs w:val="32"/>
          <w:highlight w:val="none"/>
          <w:u w:val="none"/>
          <w:lang w:eastAsia="zh-CN"/>
          <w14:textFill>
            <w14:solidFill>
              <w14:schemeClr w14:val="tx1"/>
            </w14:solidFill>
          </w14:textFill>
        </w:rPr>
        <w:t>全区</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前列</w:t>
      </w:r>
      <w:r>
        <w:rPr>
          <w:rFonts w:hint="eastAsia" w:ascii="宋体" w:hAnsi="宋体" w:eastAsia="方正仿宋_GBK"/>
          <w:color w:val="000000" w:themeColor="text1"/>
          <w:sz w:val="32"/>
          <w:szCs w:val="32"/>
          <w:highlight w:val="none"/>
          <w:u w:val="none"/>
          <w:lang w:eastAsia="zh-CN"/>
          <w14:textFill>
            <w14:solidFill>
              <w14:schemeClr w14:val="tx1"/>
            </w14:solidFill>
          </w14:textFill>
        </w:rPr>
        <w:t>。</w:t>
      </w:r>
      <w:r>
        <w:rPr>
          <w:rFonts w:hint="eastAsia" w:ascii="宋体" w:hAnsi="宋体" w:eastAsia="方正仿宋_GBK"/>
          <w:b/>
          <w:bCs/>
          <w:color w:val="000000" w:themeColor="text1"/>
          <w:sz w:val="32"/>
          <w:szCs w:val="32"/>
          <w:highlight w:val="none"/>
          <w:u w:val="none"/>
          <w:lang w:val="en-US" w:eastAsia="zh-CN"/>
          <w14:textFill>
            <w14:solidFill>
              <w14:schemeClr w14:val="tx1"/>
            </w14:solidFill>
          </w14:textFill>
        </w:rPr>
        <w:t>三是树立实干担当作风。</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坚持为基层减负、为实干赋能的鲜明导向，社区“1+1+N”考核体系进一步优化，机关各部门、国企事业单位的考核机制进一步健全，将考核结果与干部绩效、评先评优、提拔使用相挂钩，鼓励干部树牢履职尽责、敢为善为的作风。深入推进党风廉政建设，持续擦亮“马小清”廉政建设IP，将党纪学习教育成果转化为干部务实的成效更加凸显。</w:t>
      </w:r>
    </w:p>
    <w:p>
      <w:pPr>
        <w:topLinePunct/>
        <w:spacing w:line="592" w:lineRule="exact"/>
        <w:ind w:firstLine="640" w:firstLineChars="200"/>
        <w:rPr>
          <w:rFonts w:ascii="宋体" w:hAnsi="宋体" w:eastAsia="方正仿宋_GBK"/>
          <w:color w:val="000000" w:themeColor="text1"/>
          <w:kern w:val="0"/>
          <w:sz w:val="32"/>
          <w:szCs w:val="32"/>
          <w:highlight w:val="none"/>
          <w:u w:val="none"/>
          <w14:textFill>
            <w14:solidFill>
              <w14:schemeClr w14:val="tx1"/>
            </w14:solidFill>
          </w14:textFill>
        </w:rPr>
      </w:pPr>
      <w:r>
        <w:rPr>
          <w:rFonts w:hint="eastAsia" w:ascii="宋体" w:hAnsi="宋体" w:eastAsia="方正黑体_GBK" w:cs="方正黑体_GBK"/>
          <w:color w:val="000000" w:themeColor="text1"/>
          <w:sz w:val="32"/>
          <w:szCs w:val="32"/>
          <w:highlight w:val="none"/>
          <w:u w:val="none"/>
          <w14:textFill>
            <w14:solidFill>
              <w14:schemeClr w14:val="tx1"/>
            </w14:solidFill>
          </w14:textFill>
        </w:rPr>
        <w:t>二、</w:t>
      </w:r>
      <w:r>
        <w:rPr>
          <w:rFonts w:hint="eastAsia" w:ascii="宋体" w:hAnsi="宋体" w:eastAsia="方正黑体_GBK" w:cs="方正黑体_GBK"/>
          <w:color w:val="000000" w:themeColor="text1"/>
          <w:kern w:val="0"/>
          <w:sz w:val="32"/>
          <w:szCs w:val="32"/>
          <w:highlight w:val="none"/>
          <w:u w:val="none"/>
          <w14:textFill>
            <w14:solidFill>
              <w14:schemeClr w14:val="tx1"/>
            </w14:solidFill>
          </w14:textFill>
        </w:rPr>
        <w:t>202</w:t>
      </w:r>
      <w:r>
        <w:rPr>
          <w:rFonts w:hint="eastAsia" w:ascii="宋体" w:hAnsi="宋体" w:eastAsia="方正黑体_GBK" w:cs="方正黑体_GBK"/>
          <w:color w:val="000000" w:themeColor="text1"/>
          <w:kern w:val="0"/>
          <w:sz w:val="32"/>
          <w:szCs w:val="32"/>
          <w:highlight w:val="none"/>
          <w:u w:val="none"/>
          <w:lang w:val="en-US" w:eastAsia="zh-CN"/>
          <w14:textFill>
            <w14:solidFill>
              <w14:schemeClr w14:val="tx1"/>
            </w14:solidFill>
          </w14:textFill>
        </w:rPr>
        <w:t>5</w:t>
      </w:r>
      <w:r>
        <w:rPr>
          <w:rFonts w:hint="eastAsia" w:ascii="宋体" w:hAnsi="宋体" w:eastAsia="方正黑体_GBK" w:cs="方正黑体_GBK"/>
          <w:color w:val="000000" w:themeColor="text1"/>
          <w:kern w:val="0"/>
          <w:sz w:val="32"/>
          <w:szCs w:val="32"/>
          <w:highlight w:val="none"/>
          <w:u w:val="none"/>
          <w14:textFill>
            <w14:solidFill>
              <w14:schemeClr w14:val="tx1"/>
            </w14:solidFill>
          </w14:textFill>
        </w:rPr>
        <w:t>年工作计划安排</w:t>
      </w:r>
    </w:p>
    <w:p>
      <w:pPr>
        <w:topLinePunct/>
        <w:spacing w:line="592" w:lineRule="exact"/>
        <w:ind w:firstLine="640" w:firstLineChars="200"/>
        <w:rPr>
          <w:rFonts w:hint="default" w:ascii="宋体" w:hAnsi="宋体" w:eastAsia="方正仿宋_GBK"/>
          <w:color w:val="000000" w:themeColor="text1"/>
          <w:sz w:val="32"/>
          <w:szCs w:val="32"/>
          <w:highlight w:val="none"/>
          <w:u w:val="none"/>
          <w:lang w:val="en-US" w:eastAsia="zh-CN"/>
          <w14:textFill>
            <w14:solidFill>
              <w14:schemeClr w14:val="tx1"/>
            </w14:solidFill>
          </w14:textFill>
        </w:rPr>
      </w:pPr>
      <w:r>
        <w:rPr>
          <w:rFonts w:hint="eastAsia" w:ascii="宋体" w:hAnsi="宋体" w:eastAsia="方正仿宋_GBK"/>
          <w:color w:val="000000" w:themeColor="text1"/>
          <w:kern w:val="0"/>
          <w:sz w:val="32"/>
          <w:szCs w:val="32"/>
          <w:highlight w:val="none"/>
          <w:u w:val="none"/>
          <w14:textFill>
            <w14:solidFill>
              <w14:schemeClr w14:val="tx1"/>
            </w14:solidFill>
          </w14:textFill>
        </w:rPr>
        <w:t>下阶段，度假区将</w:t>
      </w:r>
      <w:r>
        <w:rPr>
          <w:rFonts w:hint="eastAsia" w:ascii="宋体" w:hAnsi="宋体" w:eastAsia="方正仿宋_GBK"/>
          <w:color w:val="000000" w:themeColor="text1"/>
          <w:kern w:val="0"/>
          <w:sz w:val="32"/>
          <w:szCs w:val="32"/>
          <w:highlight w:val="none"/>
          <w:u w:val="none"/>
          <w:lang w:val="en-US" w:eastAsia="zh-CN"/>
          <w14:textFill>
            <w14:solidFill>
              <w14:schemeClr w14:val="tx1"/>
            </w14:solidFill>
          </w14:textFill>
        </w:rPr>
        <w:t>坚持以习近平新时代中国特色社会主义思想为引领，认真学习贯彻党的二十大和二十届三中全会精神，</w:t>
      </w:r>
      <w:r>
        <w:rPr>
          <w:rFonts w:hint="eastAsia" w:ascii="宋体" w:hAnsi="宋体" w:eastAsia="方正仿宋_GBK"/>
          <w:color w:val="000000" w:themeColor="text1"/>
          <w:sz w:val="32"/>
          <w:szCs w:val="32"/>
          <w:highlight w:val="none"/>
          <w:u w:val="none"/>
          <w14:textFill>
            <w14:solidFill>
              <w14:schemeClr w14:val="tx1"/>
            </w14:solidFill>
          </w14:textFill>
        </w:rPr>
        <w:t>认真落实</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中央和省</w:t>
      </w:r>
      <w:r>
        <w:rPr>
          <w:rFonts w:hint="eastAsia" w:ascii="宋体" w:hAnsi="宋体" w:eastAsia="方正仿宋_GBK"/>
          <w:color w:val="000000" w:themeColor="text1"/>
          <w:sz w:val="32"/>
          <w:szCs w:val="32"/>
          <w:highlight w:val="none"/>
          <w:u w:val="none"/>
          <w14:textFill>
            <w14:solidFill>
              <w14:schemeClr w14:val="tx1"/>
            </w14:solidFill>
          </w14:textFill>
        </w:rPr>
        <w:t>市区高质量发展总体要求，抢抓锡宜一体化、</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环太湖科创圈</w:t>
      </w:r>
      <w:r>
        <w:rPr>
          <w:rFonts w:hint="eastAsia" w:ascii="宋体" w:hAnsi="宋体" w:eastAsia="方正仿宋_GBK"/>
          <w:color w:val="000000" w:themeColor="text1"/>
          <w:sz w:val="32"/>
          <w:szCs w:val="32"/>
          <w:highlight w:val="none"/>
          <w:u w:val="none"/>
          <w14:textFill>
            <w14:solidFill>
              <w14:schemeClr w14:val="tx1"/>
            </w14:solidFill>
          </w14:textFill>
        </w:rPr>
        <w:t>等重大战略契机，</w:t>
      </w:r>
      <w:r>
        <w:rPr>
          <w:rFonts w:hint="eastAsia" w:ascii="宋体" w:hAnsi="宋体" w:eastAsia="方正仿宋_GBK"/>
          <w:color w:val="000000" w:themeColor="text1"/>
          <w:kern w:val="0"/>
          <w:sz w:val="32"/>
          <w:szCs w:val="32"/>
          <w:highlight w:val="none"/>
          <w:u w:val="none"/>
          <w14:textFill>
            <w14:solidFill>
              <w14:schemeClr w14:val="tx1"/>
            </w14:solidFill>
          </w14:textFill>
        </w:rPr>
        <w:t>紧紧围绕“灵山湾生态城”目标定位，</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踔厉奋发、实干担当</w:t>
      </w:r>
      <w:r>
        <w:rPr>
          <w:rFonts w:hint="eastAsia" w:ascii="宋体" w:hAnsi="宋体" w:eastAsia="方正仿宋_GBK"/>
          <w:color w:val="000000" w:themeColor="text1"/>
          <w:sz w:val="32"/>
          <w:szCs w:val="32"/>
          <w:highlight w:val="none"/>
          <w:u w:val="none"/>
          <w14:textFill>
            <w14:solidFill>
              <w14:schemeClr w14:val="tx1"/>
            </w14:solidFill>
          </w14:textFill>
        </w:rPr>
        <w:t>，</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努力推动</w:t>
      </w:r>
      <w:r>
        <w:rPr>
          <w:rFonts w:hint="eastAsia" w:ascii="宋体" w:hAnsi="宋体" w:eastAsia="方正仿宋_GBK"/>
          <w:color w:val="000000" w:themeColor="text1"/>
          <w:sz w:val="32"/>
          <w:szCs w:val="32"/>
          <w:highlight w:val="none"/>
          <w:u w:val="none"/>
          <w14:textFill>
            <w14:solidFill>
              <w14:schemeClr w14:val="tx1"/>
            </w14:solidFill>
          </w14:textFill>
        </w:rPr>
        <w:t>度假区经济社会</w:t>
      </w: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高质量发展迈上新台阶。</w:t>
      </w:r>
    </w:p>
    <w:p>
      <w:pPr>
        <w:keepNext w:val="0"/>
        <w:keepLines w:val="0"/>
        <w:pageBreakBefore w:val="0"/>
        <w:widowControl w:val="0"/>
        <w:kinsoku/>
        <w:wordWrap/>
        <w:overflowPunct w:val="0"/>
        <w:topLinePunct w:val="0"/>
        <w:autoSpaceDE w:val="0"/>
        <w:autoSpaceDN w:val="0"/>
        <w:bidi w:val="0"/>
        <w:adjustRightInd/>
        <w:snapToGrid/>
        <w:spacing w:line="592" w:lineRule="exact"/>
        <w:ind w:right="0" w:firstLine="643" w:firstLineChars="200"/>
        <w:jc w:val="both"/>
        <w:textAlignment w:val="auto"/>
        <w:rPr>
          <w:rFonts w:hint="default"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pP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一</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坚定不移</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促创新</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进一步提高发展内驱力</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突出科技创新</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首位度</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因地制宜培育发展新质生产力，</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以科创赋能地区高质量发展</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一</w:t>
      </w:r>
      <w:r>
        <w:rPr>
          <w:rFonts w:hint="default"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是</w:t>
      </w:r>
      <w:r>
        <w:rPr>
          <w:rFonts w:hint="eastAsia"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擦亮创新</w:t>
      </w:r>
      <w:r>
        <w:rPr>
          <w:rFonts w:hint="default"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平台</w:t>
      </w:r>
      <w:r>
        <w:rPr>
          <w:rFonts w:hint="eastAsia"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名片。</w:t>
      </w:r>
      <w:r>
        <w:rPr>
          <w:rFonts w:hint="eastAsia" w:ascii="宋体" w:hAnsi="宋体" w:eastAsia="方正仿宋_GBK" w:cs="Times New Roman"/>
          <w:b w:val="0"/>
          <w:bCs w:val="0"/>
          <w:snapToGrid/>
          <w:color w:val="000000" w:themeColor="text1"/>
          <w:kern w:val="2"/>
          <w:sz w:val="32"/>
          <w:szCs w:val="32"/>
          <w:highlight w:val="none"/>
          <w:u w:val="none"/>
          <w:lang w:val="en-US" w:eastAsia="zh-CN"/>
          <w14:textFill>
            <w14:solidFill>
              <w14:schemeClr w14:val="tx1"/>
            </w14:solidFill>
          </w14:textFill>
        </w:rPr>
        <w:t>充分</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发挥无锡国际生命科学园创新要素集聚优势，在维护好中国科协海智工作基地等现有品牌的基础上，做好</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2025</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年度江苏省现代服务业集聚区的创建工作。</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积极筹备</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“智汇滨湖”创新创业大赛</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等活动</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拓宽</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与海内外医药健康领域科技团体和行业精英的联系</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渠道</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加快</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推进江苏省药品监督管理局审评核查滨湖工作站建设</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为生命健康产业发展赋能增效。二</w:t>
      </w:r>
      <w:r>
        <w:rPr>
          <w:rFonts w:hint="default"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是</w:t>
      </w:r>
      <w:r>
        <w:rPr>
          <w:rFonts w:hint="eastAsia"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做优创新主体服务</w:t>
      </w:r>
      <w:r>
        <w:rPr>
          <w:rFonts w:hint="default"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加大</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太湖湾科创带政策及重点企业</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一事一议</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政策</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倾斜</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强化对佳龙股份、睿龙新材料、拈文旅等拟上市企业的扶持</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。完善企业全生命周期服务体系，做好市三类企业、科技型中小企业、高新技术企业申报的跟踪服务，</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力争</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度假区高企申报完成率居全区前列。协同滨湖国投加强项目投后管理，推进华放医疗、永展贝康、蓝软智能等项目业绩处置工作，不断完善基金保障。鼓励</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健适等创新型</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企业加大研发投入力度，促进</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政产学研</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融合和创新成果本地转化。</w:t>
      </w:r>
      <w:r>
        <w:rPr>
          <w:rFonts w:hint="default"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三是</w:t>
      </w:r>
      <w:r>
        <w:rPr>
          <w:rFonts w:hint="eastAsia"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强化创新</w:t>
      </w:r>
      <w:r>
        <w:rPr>
          <w:rFonts w:hint="default" w:ascii="宋体" w:hAnsi="宋体" w:eastAsia="方正仿宋_GBK" w:cs="Times New Roman"/>
          <w:b/>
          <w:bCs/>
          <w:snapToGrid/>
          <w:color w:val="000000" w:themeColor="text1"/>
          <w:kern w:val="2"/>
          <w:sz w:val="32"/>
          <w:szCs w:val="32"/>
          <w:highlight w:val="none"/>
          <w:u w:val="none"/>
          <w:lang w:val="en-US" w:eastAsia="zh-CN"/>
          <w14:textFill>
            <w14:solidFill>
              <w14:schemeClr w14:val="tx1"/>
            </w14:solidFill>
          </w14:textFill>
        </w:rPr>
        <w:t>人才引育。</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强化</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双招双引</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工作</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加强对</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聚树生物、脉得智能等潜质企业</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的</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推荐指导</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，加大</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2025年度</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国家级重大人才工程</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、省“双创</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人才</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”、市“太湖人才”、</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区“滨湖之光”等人才项目</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申报力度</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不断提高</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创新高层次人才引育</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质效</w:t>
      </w:r>
      <w:r>
        <w:rPr>
          <w:rFonts w:hint="eastAsia"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加快推进“</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明寓</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eastAsia="zh-CN"/>
          <w14:textFill>
            <w14:solidFill>
              <w14:schemeClr w14:val="tx1"/>
            </w14:solidFill>
          </w14:textFill>
        </w:rPr>
        <w:t>人才公寓职工休闲活动中心提升改造</w:t>
      </w:r>
      <w:r>
        <w:rPr>
          <w:rFonts w:hint="eastAsia" w:ascii="宋体" w:hAnsi="宋体" w:eastAsia="方正仿宋_GBK" w:cs="Times New Roman"/>
          <w:snapToGrid/>
          <w:color w:val="000000" w:themeColor="text1"/>
          <w:kern w:val="2"/>
          <w:sz w:val="32"/>
          <w:szCs w:val="32"/>
          <w:highlight w:val="none"/>
          <w:u w:val="none"/>
          <w:lang w:val="en-US" w:eastAsia="zh-CN"/>
          <w14:textFill>
            <w14:solidFill>
              <w14:schemeClr w14:val="tx1"/>
            </w14:solidFill>
          </w14:textFill>
        </w:rPr>
        <w:t>工程，为人才提供“拎包入住”的条件，加快推动园区产城高质量融合发展，为人才搭建安心创业的舞台。</w:t>
      </w:r>
    </w:p>
    <w:p>
      <w:pPr>
        <w:keepNext w:val="0"/>
        <w:keepLines w:val="0"/>
        <w:pageBreakBefore w:val="0"/>
        <w:widowControl w:val="0"/>
        <w:kinsoku/>
        <w:wordWrap/>
        <w:overflowPunct w:val="0"/>
        <w:topLinePunct w:val="0"/>
        <w:autoSpaceDE w:val="0"/>
        <w:autoSpaceDN w:val="0"/>
        <w:bidi w:val="0"/>
        <w:adjustRightInd/>
        <w:snapToGrid/>
        <w:spacing w:line="592" w:lineRule="exact"/>
        <w:ind w:right="0" w:firstLine="643" w:firstLineChars="200"/>
        <w:jc w:val="both"/>
        <w:textAlignment w:val="auto"/>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pP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二</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）坚定不移强产业，进一步提高经济支撑力</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围绕“543+X”</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产业，</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不断壮大</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优势产业</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培育未来产业</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，努力构建现代化产业体系</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一是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做强优势产业</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持续巩固生命健康“重要一园”，加快推进</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高性能医疗装备产业园、健适医疗无锡生产基地二期、聚禾源启合成生物智能装备等重大项目</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争取早日达产见效。</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推动辉瑞技改项目尽快在马山投产。</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围绕灵山</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拈花湾、阖闾城遗址博物馆等核心景区，做好高端酒店、特色民宿、品牌餐饮等旅游要素</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的</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整合，</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进一步做优现代化文旅服务</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加快推进南湾艺数村项目，不断提升</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小南湾乡创园</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农文旅融合发展成效</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。全面跟踪服务中国移动、广源捷泰等一批在建项目，</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加快推进</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四方</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友信</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导流式汽封智能核心装备制造</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等项目。</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二是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做大未来产业</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持续健全因地制宜发展新质生产力体制机制，</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统筹谋划高端医疗器械</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、合成生物、</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低空经济以及人工智能等</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未来产业</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发展。竞速数字影像设备、临床检验设备、先进治疗装备、植介入器械及材料、健康监测设备5大高性能医疗器械赛道，努力挖掘生命健康新潜力、新势能</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。深入推进小南湾航空营地</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、超翼科技eVTOL总部和生产基地</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等项目，打造多维立体的低空经济生态。</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依托中国移动等算力中心项目赋能制造业“智改数转”，推动数字经济与实体经济“双轮驱动”。</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三是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做深项目储备</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对照</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区下达的</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外向型经济任务目标</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和招商引企任务目标</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仔细摸排梳理、细化分解，力争保存量、扩增量，全力以赴完成年度目标任务。持续</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深化全员招商模式，</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依托</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论坛合作方、投资机构、平台型公司等渠道，深挖项目信息源，</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围绕创新程度高、市场需求大、发展潜力好的项目，有计划地</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赴</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海内外</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进行</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地毯式</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招商，不断提升产业链招商、以商招商、驻点招商等工作成效</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，为产业发展提供深厚的项目“蓄水池”</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p>
    <w:p>
      <w:pPr>
        <w:pStyle w:val="3"/>
        <w:keepNext w:val="0"/>
        <w:keepLines w:val="0"/>
        <w:pageBreakBefore w:val="0"/>
        <w:widowControl w:val="0"/>
        <w:kinsoku/>
        <w:wordWrap/>
        <w:overflowPunct w:val="0"/>
        <w:topLinePunct w:val="0"/>
        <w:autoSpaceDE w:val="0"/>
        <w:autoSpaceDN w:val="0"/>
        <w:bidi w:val="0"/>
        <w:adjustRightInd/>
        <w:snapToGrid/>
        <w:spacing w:line="592" w:lineRule="exact"/>
        <w:ind w:right="0" w:firstLine="612"/>
        <w:jc w:val="both"/>
        <w:textAlignment w:val="baseline"/>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pP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三</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坚定不移兴城市，</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进一步</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呈现城乡新魅力。</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深</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入践行</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两山</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理论，</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落实</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健全推进新型城镇化体制机制</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要求</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持续提升度假区全域“颜值”</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一是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深化污染防治攻坚</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深入开展</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蓝天、碧水、净土</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保卫战，</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聚焦</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大气污染防控薄弱环节，</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精准</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制定污染</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管控</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方案，</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切实推动空气质量持续改善。做好</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蓝藻打捞</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工作</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加快推进</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马山片区污水管网提升改造</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、“一厂一策”专项整治提升等工程，</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推动水质不断好转。严格按照</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三线一单</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管控要求，做好度假区各类建设项目环评审批，严禁高投入、高消耗、高污染、低效益项目入驻，为区域高质量发展提供最佳的生态环境支持。</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二是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促进</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城市</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有机更新</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根据</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工程建设需要，适时启动渔花北路、啤酒厂北侧等地块，为明年征收工作</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打下坚实基础。</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不断提升睦邻中心、华</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东师范大学</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附属无锡滨湖学校</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、新六院对辖区优质商业、教育、医疗的支撑力，加快</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建设</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振兴街改造</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、海吉亚医院等</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城市功能项目</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进一步提升城市中心能级</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。统筹谋划2025年城市精细化管理工作</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，优化调整马山数字化“停车地图”，完善城管、安监、消防三支队伍的协同工作机制，力争在明年</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最干净街道考核</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中</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继续位列全市前茅。</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三是推进乡村全面振兴。</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不断巩固</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三清三治</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农村人居环境整治成果，持续改善乡村环境风貌。加快推进</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庙西亲子农庄</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、六合颐养等农文旅项目建设，</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发挥冠嶂古道、龙山步道等对景区社区的联通作用，打造“串珠成链”的农文旅融合品牌</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按照“</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按需编制、有序推进、务实规划</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”的要求</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，用</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绣花功夫</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”做好</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美丽农居</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工作，</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加快推进阖闾社区短沟村</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现代“美丽农居”重点村建设</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，全力打造美丽农居</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马山</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样板。</w:t>
      </w:r>
    </w:p>
    <w:p>
      <w:pPr>
        <w:pStyle w:val="3"/>
        <w:keepNext w:val="0"/>
        <w:keepLines w:val="0"/>
        <w:pageBreakBefore w:val="0"/>
        <w:widowControl w:val="0"/>
        <w:kinsoku/>
        <w:wordWrap/>
        <w:overflowPunct w:val="0"/>
        <w:topLinePunct w:val="0"/>
        <w:autoSpaceDE w:val="0"/>
        <w:autoSpaceDN w:val="0"/>
        <w:bidi w:val="0"/>
        <w:adjustRightInd/>
        <w:snapToGrid/>
        <w:spacing w:line="592" w:lineRule="exact"/>
        <w:ind w:right="0" w:firstLine="612"/>
        <w:jc w:val="both"/>
        <w:textAlignment w:val="baseline"/>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pP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四</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）坚定不移惠民生，进一步提高幸福感知力</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坚持为人民服务的根本宗旨，努力办好民生实事，不断提高人民群众的幸福感、获得感和安全感。</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一是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解决民之所忧</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着力</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新建标准化“家门口”就业服务站，</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依托</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马筑英巢</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山纳匠才</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红邻</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商圈党建微阵地等平台，</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为就业困难群体</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搭建就业渠道。</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探索</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建立以家庭为核心</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社区为依托</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信息化平台为支撑的居家养老新模式</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，力争2025年完成一家4A级居家养老服务机构的评定。</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围绕低保、残疾人、困境儿童等特殊群体，进一步加大基础社会救助和保障力度，提高精准救助成效。</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二是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满足民之所盼</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u w:val="none"/>
          <w:lang w:val="en-US" w:eastAsia="zh-CN"/>
          <w14:textFill>
            <w14:solidFill>
              <w14:schemeClr w14:val="tx1"/>
            </w14:solidFill>
          </w14:textFill>
        </w:rPr>
        <w:t>推动大桥实验学校课程建设联盟校合作向纵深发展，真正将马山教育做出成绩、创出品牌。高质量办好无锡女子半程马拉松赛、乐跑马山天使跑等大型赛事，丰富群众文体供给。</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深化</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读懂马山</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全民阅读品牌建设，串联睦邻中心、钟书房等</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宣传</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阵地</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开展</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好“</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字里行间</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馨阅马山</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”等文化</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活动，</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做好</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许叔微故居文物保护</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及</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展陈</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工作，更好满足人民精神文化需求。</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三是</w:t>
      </w:r>
      <w:r>
        <w:rPr>
          <w:rFonts w:hint="eastAsia"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守护民之所安</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完善矛盾纠纷早发现早处置机制和多元化解体系，做到发现在早、处置在小、化解在基层</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，确保</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辖区涉稳人员的信息研判预警处置率达100%。持续提升网格化服务管理水平和群众满意度，力争网格化工作在全区名列前茅。统筹推进安全生产</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两张清单</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工作</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，形成各领域安全、消防检查清单以及日常巡查指导手册，加强重点领域安全隐患防范化解，进一步提升度假区安全发展水平。</w:t>
      </w:r>
    </w:p>
    <w:p>
      <w:pPr>
        <w:topLinePunct/>
        <w:spacing w:line="592" w:lineRule="exact"/>
        <w:ind w:firstLine="643" w:firstLineChars="200"/>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pP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五</w:t>
      </w:r>
      <w:r>
        <w:rPr>
          <w:rFonts w:hint="eastAsia"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）坚定不移转作风，进一步提高队伍战斗力</w:t>
      </w:r>
      <w:r>
        <w:rPr>
          <w:rFonts w:hint="default" w:ascii="宋体" w:hAnsi="宋体" w:eastAsia="方正楷体_GBK" w:cs="Times New Roman"/>
          <w:b/>
          <w:bCs/>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坚持党建引领、实干笃行、奋楫争先，以忠诚干净担当的实际行动打造人民满意的政府。</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一是提升基层组织效能。</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持续</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加强度假区优秀年轻干部队伍建设，完善年轻干部制度化系统化培养机制，</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着力</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举办新一届青年干部培训班</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提升年轻干部</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七种能力</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，锻造一批</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一专多能</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的复合型年轻干部队伍</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深化基层党建提质增效体系建设，丰富</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红帆工程</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党建品牌内涵，</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写</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好</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“产业链党建”“小区党建”等文章，探索构建以睦邻中心为主体的新时代商圈经济党建工作体系。</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二是深化体制机制改革。</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持续</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深化</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度假区国有企业</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1+4+N</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”体系</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改革，通过</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马山投控</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集团内部整合重组和职能重构，</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建立完善“</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分层运作、分业经营、分类管理</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的运作架构，不断提高四大业务板块市场化运作的核心竞争力，推动规模实力不断壮大、运行质量持续提升</w:t>
      </w:r>
      <w:r>
        <w:rPr>
          <w:rFonts w:hint="eastAsia" w:ascii="宋体" w:hAnsi="宋体" w:eastAsia="方正仿宋_GBK" w:cs="Times New Roman"/>
          <w:b w:val="0"/>
          <w:bCs w:val="0"/>
          <w:snapToGrid/>
          <w:color w:val="000000" w:themeColor="text1"/>
          <w:kern w:val="2"/>
          <w:sz w:val="32"/>
          <w:szCs w:val="32"/>
          <w:highlight w:val="none"/>
          <w:u w:val="none"/>
          <w:lang w:val="en-US" w:eastAsia="zh-CN" w:bidi="ar-SA"/>
          <w14:textFill>
            <w14:solidFill>
              <w14:schemeClr w14:val="tx1"/>
            </w14:solidFill>
          </w14:textFill>
        </w:rPr>
        <w:t>。加快推进灵山系“三重一大”议事规则制度的制定。继续健全完善国资监管体系，形成国有企业监督管理事项清单，促进国有资产保值增值。</w:t>
      </w:r>
      <w:r>
        <w:rPr>
          <w:rFonts w:hint="default" w:ascii="宋体" w:hAnsi="宋体" w:eastAsia="方正仿宋_GBK" w:cs="Times New Roman"/>
          <w:b/>
          <w:bCs/>
          <w:snapToGrid/>
          <w:color w:val="000000" w:themeColor="text1"/>
          <w:kern w:val="2"/>
          <w:sz w:val="32"/>
          <w:szCs w:val="32"/>
          <w:highlight w:val="none"/>
          <w:u w:val="none"/>
          <w:lang w:val="en-US" w:eastAsia="zh-CN" w:bidi="ar-SA"/>
          <w14:textFill>
            <w14:solidFill>
              <w14:schemeClr w14:val="tx1"/>
            </w14:solidFill>
          </w14:textFill>
        </w:rPr>
        <w:t>三是营造清正政治生态。</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全面做优</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马小清2.0</w:t>
      </w:r>
      <w:r>
        <w:rPr>
          <w:rFonts w:hint="eastAsia"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w:t>
      </w:r>
      <w:r>
        <w:rPr>
          <w:rFonts w:hint="default" w:ascii="宋体" w:hAnsi="宋体" w:eastAsia="方正仿宋_GBK" w:cs="Times New Roman"/>
          <w:snapToGrid/>
          <w:color w:val="000000" w:themeColor="text1"/>
          <w:kern w:val="2"/>
          <w:sz w:val="32"/>
          <w:szCs w:val="32"/>
          <w:highlight w:val="none"/>
          <w:u w:val="none"/>
          <w:lang w:val="en-US" w:eastAsia="zh-CN" w:bidi="ar-SA"/>
          <w14:textFill>
            <w14:solidFill>
              <w14:schemeClr w14:val="tx1"/>
            </w14:solidFill>
          </w14:textFill>
        </w:rPr>
        <w:t>品牌，不断扩大廉政品牌宣传的覆盖面和影响力。认真研究新时期加强国企党风廉政建设的措施办法，推动形成国有企业党风廉政建设与业务工作相匹配、相融合的局面。紧盯民生实事、资产管理、工程管理等重点领域开展专项监督，排查梳理各类潜在廉政风险点，营造度假区风清气正的政治生态。</w:t>
      </w:r>
    </w:p>
    <w:p>
      <w:pPr>
        <w:topLinePunct/>
        <w:spacing w:line="592" w:lineRule="exact"/>
        <w:ind w:firstLine="640" w:firstLineChars="200"/>
        <w:rPr>
          <w:rFonts w:ascii="宋体" w:hAnsi="宋体" w:eastAsia="方正仿宋_GBK"/>
          <w:bCs/>
          <w:color w:val="000000" w:themeColor="text1"/>
          <w:sz w:val="32"/>
          <w:szCs w:val="32"/>
          <w:highlight w:val="none"/>
          <w:u w:val="none"/>
          <w14:textFill>
            <w14:solidFill>
              <w14:schemeClr w14:val="tx1"/>
            </w14:solidFill>
          </w14:textFill>
        </w:rPr>
      </w:pPr>
      <w:r>
        <w:rPr>
          <w:rFonts w:hint="eastAsia" w:ascii="宋体" w:hAnsi="宋体" w:eastAsia="方正仿宋_GBK"/>
          <w:color w:val="000000" w:themeColor="text1"/>
          <w:sz w:val="32"/>
          <w:szCs w:val="32"/>
          <w:highlight w:val="none"/>
          <w:u w:val="none"/>
          <w:lang w:val="en-US" w:eastAsia="zh-CN"/>
          <w14:textFill>
            <w14:solidFill>
              <w14:schemeClr w14:val="tx1"/>
            </w14:solidFill>
          </w14:textFill>
        </w:rPr>
        <w:t>下阶段，</w:t>
      </w:r>
      <w:r>
        <w:rPr>
          <w:rFonts w:hint="eastAsia" w:ascii="宋体" w:hAnsi="宋体" w:eastAsia="方正仿宋_GBK"/>
          <w:bCs/>
          <w:color w:val="000000" w:themeColor="text1"/>
          <w:sz w:val="32"/>
          <w:szCs w:val="32"/>
          <w:highlight w:val="none"/>
          <w:u w:val="none"/>
          <w14:textFill>
            <w14:solidFill>
              <w14:schemeClr w14:val="tx1"/>
            </w14:solidFill>
          </w14:textFill>
        </w:rPr>
        <w:t>度假区将紧紧围绕“灵山湾生态城”建设目标，不忘初心、赓续前进，攻坚突破、乘势而上，在高质量发展上争当主力、争作引擎，全力以赴推动度假区经济社会各项事业迈出新步伐、跨上新台阶，为建设“靓丽太湖湾、活力科创带”作出新的更大贡献！</w:t>
      </w:r>
    </w:p>
    <w:sectPr>
      <w:headerReference r:id="rId5" w:type="first"/>
      <w:footerReference r:id="rId8" w:type="first"/>
      <w:headerReference r:id="rId3" w:type="default"/>
      <w:footerReference r:id="rId6" w:type="default"/>
      <w:headerReference r:id="rId4" w:type="even"/>
      <w:footerReference r:id="rId7" w:type="even"/>
      <w:pgSz w:w="11906" w:h="16838"/>
      <w:pgMar w:top="1928" w:right="1474" w:bottom="175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posOffset>2559685</wp:posOffset>
              </wp:positionH>
              <wp:positionV relativeFrom="paragraph">
                <wp:posOffset>-172085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1.55pt;margin-top:-13.55pt;height:144pt;width:144pt;mso-position-horizontal-relative:margin;mso-wrap-style:none;z-index:251659264;mso-width-relative:page;mso-height-relative:page;" filled="f" stroked="f" coordsize="21600,21600" o:gfxdata="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4Is2ZZ&#10;2Oqd5RE6Kubt6hggYKdrFKVXYtAK09Z1ZngZcZz/3HdRj3+D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cn8k2AAAAAsBAAAPAAAAAAAAAAEAIAAAACIAAABkcnMvZG93bnJldi54bWxQSwECFAAU&#10;AAAACACHTuJAjNcOfCoCAABVBAAADgAAAAAAAAABACAAAAAnAQAAZHJzL2Uyb0RvYy54bWxQSwUG&#10;AAAAAAYABgBZAQAAwwUAAAAA&#10;">
              <v:fill on="f" focussize="0,0"/>
              <v:stroke on="f" weight="0.5pt"/>
              <v:imagedata o:title=""/>
              <o:lock v:ext="edit" aspectratio="f"/>
              <v:textbox inset="0mm,0mm,0mm,0mm" style="mso-fit-shape-to-text:t;">
                <w:txbxContent>
                  <w:p>
                    <w:pPr>
                      <w:pStyle w:val="9"/>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7"/>
    <w:multiLevelType w:val="multilevel"/>
    <w:tmpl w:val="00000017"/>
    <w:lvl w:ilvl="0" w:tentative="0">
      <w:start w:val="1"/>
      <w:numFmt w:val="bullet"/>
      <w:pStyle w:val="1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3165"/>
        </w:tabs>
        <w:ind w:left="3165" w:hanging="420"/>
      </w:pPr>
      <w:rPr>
        <w:rFonts w:hint="default" w:ascii="Wingdings" w:hAnsi="Wingdings"/>
      </w:rPr>
    </w:lvl>
    <w:lvl w:ilvl="2" w:tentative="0">
      <w:start w:val="1"/>
      <w:numFmt w:val="bullet"/>
      <w:lvlText w:val=""/>
      <w:lvlJc w:val="left"/>
      <w:pPr>
        <w:tabs>
          <w:tab w:val="left" w:pos="3585"/>
        </w:tabs>
        <w:ind w:left="3585" w:hanging="420"/>
      </w:pPr>
      <w:rPr>
        <w:rFonts w:hint="default" w:ascii="Wingdings" w:hAnsi="Wingdings"/>
      </w:rPr>
    </w:lvl>
    <w:lvl w:ilvl="3" w:tentative="0">
      <w:start w:val="1"/>
      <w:numFmt w:val="bullet"/>
      <w:lvlText w:val=""/>
      <w:lvlJc w:val="left"/>
      <w:pPr>
        <w:tabs>
          <w:tab w:val="left" w:pos="4005"/>
        </w:tabs>
        <w:ind w:left="4005" w:hanging="420"/>
      </w:pPr>
      <w:rPr>
        <w:rFonts w:hint="default" w:ascii="Wingdings" w:hAnsi="Wingdings"/>
      </w:rPr>
    </w:lvl>
    <w:lvl w:ilvl="4" w:tentative="0">
      <w:start w:val="1"/>
      <w:numFmt w:val="bullet"/>
      <w:lvlText w:val=""/>
      <w:lvlJc w:val="left"/>
      <w:pPr>
        <w:tabs>
          <w:tab w:val="left" w:pos="4425"/>
        </w:tabs>
        <w:ind w:left="4425" w:hanging="420"/>
      </w:pPr>
      <w:rPr>
        <w:rFonts w:hint="default" w:ascii="Wingdings" w:hAnsi="Wingdings"/>
      </w:rPr>
    </w:lvl>
    <w:lvl w:ilvl="5" w:tentative="0">
      <w:start w:val="1"/>
      <w:numFmt w:val="bullet"/>
      <w:lvlText w:val=""/>
      <w:lvlJc w:val="left"/>
      <w:pPr>
        <w:tabs>
          <w:tab w:val="left" w:pos="4845"/>
        </w:tabs>
        <w:ind w:left="4845" w:hanging="420"/>
      </w:pPr>
      <w:rPr>
        <w:rFonts w:hint="default" w:ascii="Wingdings" w:hAnsi="Wingdings"/>
      </w:rPr>
    </w:lvl>
    <w:lvl w:ilvl="6" w:tentative="0">
      <w:start w:val="1"/>
      <w:numFmt w:val="bullet"/>
      <w:lvlText w:val=""/>
      <w:lvlJc w:val="left"/>
      <w:pPr>
        <w:tabs>
          <w:tab w:val="left" w:pos="5265"/>
        </w:tabs>
        <w:ind w:left="5265" w:hanging="420"/>
      </w:pPr>
      <w:rPr>
        <w:rFonts w:hint="default" w:ascii="Wingdings" w:hAnsi="Wingdings"/>
      </w:rPr>
    </w:lvl>
    <w:lvl w:ilvl="7" w:tentative="0">
      <w:start w:val="1"/>
      <w:numFmt w:val="bullet"/>
      <w:lvlText w:val=""/>
      <w:lvlJc w:val="left"/>
      <w:pPr>
        <w:tabs>
          <w:tab w:val="left" w:pos="5685"/>
        </w:tabs>
        <w:ind w:left="5685" w:hanging="420"/>
      </w:pPr>
      <w:rPr>
        <w:rFonts w:hint="default" w:ascii="Wingdings" w:hAnsi="Wingdings"/>
      </w:rPr>
    </w:lvl>
    <w:lvl w:ilvl="8" w:tentative="0">
      <w:start w:val="1"/>
      <w:numFmt w:val="bullet"/>
      <w:lvlText w:val=""/>
      <w:lvlJc w:val="left"/>
      <w:pPr>
        <w:tabs>
          <w:tab w:val="left" w:pos="6105"/>
        </w:tabs>
        <w:ind w:left="6105"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iMmZkNGIwMGMwOTc5NmY4YjQyZWZiZGEyZmFiNTgifQ=="/>
  </w:docVars>
  <w:rsids>
    <w:rsidRoot w:val="23FF5E2C"/>
    <w:rsid w:val="0000096E"/>
    <w:rsid w:val="0000604D"/>
    <w:rsid w:val="0000665E"/>
    <w:rsid w:val="00010A72"/>
    <w:rsid w:val="00020EB2"/>
    <w:rsid w:val="00034E85"/>
    <w:rsid w:val="000354EC"/>
    <w:rsid w:val="000458C2"/>
    <w:rsid w:val="00054E32"/>
    <w:rsid w:val="00056200"/>
    <w:rsid w:val="00062B86"/>
    <w:rsid w:val="0006398A"/>
    <w:rsid w:val="000651E7"/>
    <w:rsid w:val="000700DD"/>
    <w:rsid w:val="00073157"/>
    <w:rsid w:val="00073E09"/>
    <w:rsid w:val="00076226"/>
    <w:rsid w:val="00081C2C"/>
    <w:rsid w:val="00086824"/>
    <w:rsid w:val="000944F4"/>
    <w:rsid w:val="00094BE7"/>
    <w:rsid w:val="000A2A16"/>
    <w:rsid w:val="000A369B"/>
    <w:rsid w:val="000A699B"/>
    <w:rsid w:val="000B045E"/>
    <w:rsid w:val="000D16BD"/>
    <w:rsid w:val="000D4959"/>
    <w:rsid w:val="000E516D"/>
    <w:rsid w:val="000F142C"/>
    <w:rsid w:val="0010154B"/>
    <w:rsid w:val="00103656"/>
    <w:rsid w:val="0010429B"/>
    <w:rsid w:val="00104F07"/>
    <w:rsid w:val="0010578E"/>
    <w:rsid w:val="00111410"/>
    <w:rsid w:val="001145C9"/>
    <w:rsid w:val="001169A1"/>
    <w:rsid w:val="001251D3"/>
    <w:rsid w:val="00133678"/>
    <w:rsid w:val="00134D0F"/>
    <w:rsid w:val="001375D3"/>
    <w:rsid w:val="00150F67"/>
    <w:rsid w:val="00150FD0"/>
    <w:rsid w:val="001511C7"/>
    <w:rsid w:val="00155C53"/>
    <w:rsid w:val="0016388D"/>
    <w:rsid w:val="00163C65"/>
    <w:rsid w:val="00172787"/>
    <w:rsid w:val="0017589B"/>
    <w:rsid w:val="001836CD"/>
    <w:rsid w:val="001A2555"/>
    <w:rsid w:val="001A290C"/>
    <w:rsid w:val="001A3433"/>
    <w:rsid w:val="001A3E29"/>
    <w:rsid w:val="001A61AC"/>
    <w:rsid w:val="001D18DA"/>
    <w:rsid w:val="001D2EAD"/>
    <w:rsid w:val="001E3BD6"/>
    <w:rsid w:val="001E4EE1"/>
    <w:rsid w:val="001E52E2"/>
    <w:rsid w:val="001F41F0"/>
    <w:rsid w:val="001F4772"/>
    <w:rsid w:val="001F794D"/>
    <w:rsid w:val="001F7C2A"/>
    <w:rsid w:val="00203D31"/>
    <w:rsid w:val="00203E31"/>
    <w:rsid w:val="0020654F"/>
    <w:rsid w:val="00206865"/>
    <w:rsid w:val="002074B1"/>
    <w:rsid w:val="00207BC0"/>
    <w:rsid w:val="002131FD"/>
    <w:rsid w:val="00215595"/>
    <w:rsid w:val="00221258"/>
    <w:rsid w:val="00223C96"/>
    <w:rsid w:val="002265A5"/>
    <w:rsid w:val="00227FB3"/>
    <w:rsid w:val="00234ADE"/>
    <w:rsid w:val="002502C4"/>
    <w:rsid w:val="002519D2"/>
    <w:rsid w:val="00255610"/>
    <w:rsid w:val="00260FCB"/>
    <w:rsid w:val="00261DC5"/>
    <w:rsid w:val="00263BA6"/>
    <w:rsid w:val="00264A51"/>
    <w:rsid w:val="00265996"/>
    <w:rsid w:val="00267792"/>
    <w:rsid w:val="002701CF"/>
    <w:rsid w:val="002733B6"/>
    <w:rsid w:val="0028143B"/>
    <w:rsid w:val="00282191"/>
    <w:rsid w:val="00282E2B"/>
    <w:rsid w:val="00284AE4"/>
    <w:rsid w:val="0028787B"/>
    <w:rsid w:val="00290288"/>
    <w:rsid w:val="00294FB1"/>
    <w:rsid w:val="0029651E"/>
    <w:rsid w:val="00297B33"/>
    <w:rsid w:val="00297B37"/>
    <w:rsid w:val="002A0C14"/>
    <w:rsid w:val="002A1D7F"/>
    <w:rsid w:val="002A5BE2"/>
    <w:rsid w:val="002A6627"/>
    <w:rsid w:val="002A7409"/>
    <w:rsid w:val="002B0703"/>
    <w:rsid w:val="002B0EC2"/>
    <w:rsid w:val="002B4E7B"/>
    <w:rsid w:val="002C0091"/>
    <w:rsid w:val="002C0227"/>
    <w:rsid w:val="002C1395"/>
    <w:rsid w:val="002C2C03"/>
    <w:rsid w:val="002D41FD"/>
    <w:rsid w:val="002D751E"/>
    <w:rsid w:val="002E134A"/>
    <w:rsid w:val="002E2962"/>
    <w:rsid w:val="002F6351"/>
    <w:rsid w:val="00301EBA"/>
    <w:rsid w:val="0031378E"/>
    <w:rsid w:val="00314CD8"/>
    <w:rsid w:val="00322201"/>
    <w:rsid w:val="00324355"/>
    <w:rsid w:val="00325B7B"/>
    <w:rsid w:val="00337882"/>
    <w:rsid w:val="003410D0"/>
    <w:rsid w:val="00346CFB"/>
    <w:rsid w:val="00352820"/>
    <w:rsid w:val="00355384"/>
    <w:rsid w:val="00356164"/>
    <w:rsid w:val="00357762"/>
    <w:rsid w:val="00357A28"/>
    <w:rsid w:val="003655D1"/>
    <w:rsid w:val="00365CE0"/>
    <w:rsid w:val="00372DEF"/>
    <w:rsid w:val="00374293"/>
    <w:rsid w:val="00374EA0"/>
    <w:rsid w:val="00375AB2"/>
    <w:rsid w:val="00385D0C"/>
    <w:rsid w:val="003936AD"/>
    <w:rsid w:val="00394629"/>
    <w:rsid w:val="003A5894"/>
    <w:rsid w:val="003A6F7C"/>
    <w:rsid w:val="003A735E"/>
    <w:rsid w:val="003B05A7"/>
    <w:rsid w:val="003B1685"/>
    <w:rsid w:val="003B1F85"/>
    <w:rsid w:val="003C680A"/>
    <w:rsid w:val="003D73D5"/>
    <w:rsid w:val="003E4C94"/>
    <w:rsid w:val="003E6A36"/>
    <w:rsid w:val="003E7B29"/>
    <w:rsid w:val="003F314E"/>
    <w:rsid w:val="00404110"/>
    <w:rsid w:val="00405DB0"/>
    <w:rsid w:val="00423E8C"/>
    <w:rsid w:val="00425324"/>
    <w:rsid w:val="00431EA1"/>
    <w:rsid w:val="00433818"/>
    <w:rsid w:val="00436378"/>
    <w:rsid w:val="004363AA"/>
    <w:rsid w:val="004446C1"/>
    <w:rsid w:val="00444796"/>
    <w:rsid w:val="00450121"/>
    <w:rsid w:val="004619F7"/>
    <w:rsid w:val="00462CE5"/>
    <w:rsid w:val="0046504E"/>
    <w:rsid w:val="00465AE6"/>
    <w:rsid w:val="00470ECA"/>
    <w:rsid w:val="004724FB"/>
    <w:rsid w:val="00474417"/>
    <w:rsid w:val="00481670"/>
    <w:rsid w:val="00493738"/>
    <w:rsid w:val="004B05CB"/>
    <w:rsid w:val="004B1BA9"/>
    <w:rsid w:val="004B4B35"/>
    <w:rsid w:val="004B6A2C"/>
    <w:rsid w:val="004C0211"/>
    <w:rsid w:val="004C34E9"/>
    <w:rsid w:val="004D132B"/>
    <w:rsid w:val="004D1675"/>
    <w:rsid w:val="004D1942"/>
    <w:rsid w:val="004D34C1"/>
    <w:rsid w:val="004D6B60"/>
    <w:rsid w:val="004D7274"/>
    <w:rsid w:val="004F037A"/>
    <w:rsid w:val="004F04BF"/>
    <w:rsid w:val="004F364D"/>
    <w:rsid w:val="00502E34"/>
    <w:rsid w:val="0050447E"/>
    <w:rsid w:val="0050684F"/>
    <w:rsid w:val="0051041D"/>
    <w:rsid w:val="00515130"/>
    <w:rsid w:val="005174ED"/>
    <w:rsid w:val="00524451"/>
    <w:rsid w:val="005267E1"/>
    <w:rsid w:val="00534536"/>
    <w:rsid w:val="005411A3"/>
    <w:rsid w:val="00542175"/>
    <w:rsid w:val="00543CA0"/>
    <w:rsid w:val="005477A3"/>
    <w:rsid w:val="00550F0E"/>
    <w:rsid w:val="005523D3"/>
    <w:rsid w:val="005602C0"/>
    <w:rsid w:val="00564167"/>
    <w:rsid w:val="00565CD9"/>
    <w:rsid w:val="00565EF4"/>
    <w:rsid w:val="0056780D"/>
    <w:rsid w:val="00572FDF"/>
    <w:rsid w:val="005738DD"/>
    <w:rsid w:val="00574087"/>
    <w:rsid w:val="00584174"/>
    <w:rsid w:val="00592B83"/>
    <w:rsid w:val="005943C8"/>
    <w:rsid w:val="005948ED"/>
    <w:rsid w:val="005954B1"/>
    <w:rsid w:val="00596DFF"/>
    <w:rsid w:val="00597846"/>
    <w:rsid w:val="005A256E"/>
    <w:rsid w:val="005A55D5"/>
    <w:rsid w:val="005B0334"/>
    <w:rsid w:val="005B2724"/>
    <w:rsid w:val="005C4A3F"/>
    <w:rsid w:val="005D141E"/>
    <w:rsid w:val="005D4284"/>
    <w:rsid w:val="005D53B2"/>
    <w:rsid w:val="005D53F0"/>
    <w:rsid w:val="005D5CEA"/>
    <w:rsid w:val="005E10BA"/>
    <w:rsid w:val="005E1D9A"/>
    <w:rsid w:val="005E50CD"/>
    <w:rsid w:val="005E60EA"/>
    <w:rsid w:val="005E6E61"/>
    <w:rsid w:val="005F702F"/>
    <w:rsid w:val="00605543"/>
    <w:rsid w:val="00607532"/>
    <w:rsid w:val="00607A11"/>
    <w:rsid w:val="00614F64"/>
    <w:rsid w:val="006171ED"/>
    <w:rsid w:val="00636DB8"/>
    <w:rsid w:val="00644FF4"/>
    <w:rsid w:val="00646EBC"/>
    <w:rsid w:val="00652230"/>
    <w:rsid w:val="006525D3"/>
    <w:rsid w:val="00652864"/>
    <w:rsid w:val="006574E9"/>
    <w:rsid w:val="00662D3C"/>
    <w:rsid w:val="006762F4"/>
    <w:rsid w:val="006A3BB2"/>
    <w:rsid w:val="006A4158"/>
    <w:rsid w:val="006A4EBB"/>
    <w:rsid w:val="006A6787"/>
    <w:rsid w:val="006A79FF"/>
    <w:rsid w:val="006B189B"/>
    <w:rsid w:val="006B7D2A"/>
    <w:rsid w:val="006C0940"/>
    <w:rsid w:val="006C4D48"/>
    <w:rsid w:val="006C5061"/>
    <w:rsid w:val="006E21E0"/>
    <w:rsid w:val="006E2D87"/>
    <w:rsid w:val="006F61B5"/>
    <w:rsid w:val="006F676C"/>
    <w:rsid w:val="006F7888"/>
    <w:rsid w:val="00700D8A"/>
    <w:rsid w:val="00705340"/>
    <w:rsid w:val="00710167"/>
    <w:rsid w:val="00717EB6"/>
    <w:rsid w:val="00720DAE"/>
    <w:rsid w:val="007215B5"/>
    <w:rsid w:val="007248D0"/>
    <w:rsid w:val="007263D5"/>
    <w:rsid w:val="007275D2"/>
    <w:rsid w:val="007308DF"/>
    <w:rsid w:val="00730FA2"/>
    <w:rsid w:val="00731E40"/>
    <w:rsid w:val="00733DF3"/>
    <w:rsid w:val="00734C26"/>
    <w:rsid w:val="00736B04"/>
    <w:rsid w:val="0073774D"/>
    <w:rsid w:val="007418E4"/>
    <w:rsid w:val="00746443"/>
    <w:rsid w:val="00750E5D"/>
    <w:rsid w:val="00756233"/>
    <w:rsid w:val="00765BB0"/>
    <w:rsid w:val="00766F9F"/>
    <w:rsid w:val="007679CD"/>
    <w:rsid w:val="00767E53"/>
    <w:rsid w:val="00773F1C"/>
    <w:rsid w:val="007747EA"/>
    <w:rsid w:val="0078450A"/>
    <w:rsid w:val="0079057D"/>
    <w:rsid w:val="00791393"/>
    <w:rsid w:val="007A0A8D"/>
    <w:rsid w:val="007A3D20"/>
    <w:rsid w:val="007A4867"/>
    <w:rsid w:val="007A5209"/>
    <w:rsid w:val="007A781B"/>
    <w:rsid w:val="007B3196"/>
    <w:rsid w:val="007B4408"/>
    <w:rsid w:val="007B5E30"/>
    <w:rsid w:val="007B6E74"/>
    <w:rsid w:val="007C2762"/>
    <w:rsid w:val="007C3060"/>
    <w:rsid w:val="007C30F6"/>
    <w:rsid w:val="007C69EE"/>
    <w:rsid w:val="007C751C"/>
    <w:rsid w:val="007D0779"/>
    <w:rsid w:val="007D20FA"/>
    <w:rsid w:val="007D4903"/>
    <w:rsid w:val="007D5427"/>
    <w:rsid w:val="007D637F"/>
    <w:rsid w:val="007D6841"/>
    <w:rsid w:val="007E1410"/>
    <w:rsid w:val="007E35B8"/>
    <w:rsid w:val="007F08D3"/>
    <w:rsid w:val="007F2919"/>
    <w:rsid w:val="007F2AD3"/>
    <w:rsid w:val="007F6714"/>
    <w:rsid w:val="007F6C79"/>
    <w:rsid w:val="00801C79"/>
    <w:rsid w:val="008115BC"/>
    <w:rsid w:val="00813341"/>
    <w:rsid w:val="0081716A"/>
    <w:rsid w:val="00821BC1"/>
    <w:rsid w:val="00835435"/>
    <w:rsid w:val="00835983"/>
    <w:rsid w:val="0084259E"/>
    <w:rsid w:val="00853619"/>
    <w:rsid w:val="00857E9B"/>
    <w:rsid w:val="00865580"/>
    <w:rsid w:val="0086616D"/>
    <w:rsid w:val="008711E6"/>
    <w:rsid w:val="00872124"/>
    <w:rsid w:val="00873A5E"/>
    <w:rsid w:val="008741DE"/>
    <w:rsid w:val="00876524"/>
    <w:rsid w:val="00877455"/>
    <w:rsid w:val="008858F7"/>
    <w:rsid w:val="0088674D"/>
    <w:rsid w:val="008977C8"/>
    <w:rsid w:val="008A2322"/>
    <w:rsid w:val="008B3FB0"/>
    <w:rsid w:val="008B6925"/>
    <w:rsid w:val="008C2881"/>
    <w:rsid w:val="008D320F"/>
    <w:rsid w:val="008D3724"/>
    <w:rsid w:val="008D6E11"/>
    <w:rsid w:val="008E3454"/>
    <w:rsid w:val="008F38B6"/>
    <w:rsid w:val="008F4ACE"/>
    <w:rsid w:val="00907205"/>
    <w:rsid w:val="00910081"/>
    <w:rsid w:val="00921879"/>
    <w:rsid w:val="00923338"/>
    <w:rsid w:val="009271B8"/>
    <w:rsid w:val="0093392E"/>
    <w:rsid w:val="00934371"/>
    <w:rsid w:val="009367F1"/>
    <w:rsid w:val="009411A7"/>
    <w:rsid w:val="00944FCC"/>
    <w:rsid w:val="00952015"/>
    <w:rsid w:val="00952C5D"/>
    <w:rsid w:val="00961ADC"/>
    <w:rsid w:val="00961B11"/>
    <w:rsid w:val="009630AA"/>
    <w:rsid w:val="00963B4E"/>
    <w:rsid w:val="00964CA0"/>
    <w:rsid w:val="00982966"/>
    <w:rsid w:val="009A0750"/>
    <w:rsid w:val="009A13A9"/>
    <w:rsid w:val="009A1DEE"/>
    <w:rsid w:val="009A37F4"/>
    <w:rsid w:val="009A57BD"/>
    <w:rsid w:val="009A6DCD"/>
    <w:rsid w:val="009A746D"/>
    <w:rsid w:val="009A76C5"/>
    <w:rsid w:val="009A7B54"/>
    <w:rsid w:val="009B39C3"/>
    <w:rsid w:val="009B45F0"/>
    <w:rsid w:val="009C1204"/>
    <w:rsid w:val="009C389F"/>
    <w:rsid w:val="009D074D"/>
    <w:rsid w:val="009D2F44"/>
    <w:rsid w:val="009D3AA3"/>
    <w:rsid w:val="009D71D8"/>
    <w:rsid w:val="009F1C91"/>
    <w:rsid w:val="009F543E"/>
    <w:rsid w:val="009F7762"/>
    <w:rsid w:val="00A02110"/>
    <w:rsid w:val="00A02CDB"/>
    <w:rsid w:val="00A031C8"/>
    <w:rsid w:val="00A04569"/>
    <w:rsid w:val="00A11233"/>
    <w:rsid w:val="00A17E2B"/>
    <w:rsid w:val="00A2647A"/>
    <w:rsid w:val="00A30253"/>
    <w:rsid w:val="00A32F12"/>
    <w:rsid w:val="00A335A2"/>
    <w:rsid w:val="00A37BC6"/>
    <w:rsid w:val="00A40BAC"/>
    <w:rsid w:val="00A41694"/>
    <w:rsid w:val="00A45105"/>
    <w:rsid w:val="00A455F1"/>
    <w:rsid w:val="00A54137"/>
    <w:rsid w:val="00A54A8E"/>
    <w:rsid w:val="00A62C7F"/>
    <w:rsid w:val="00A674BE"/>
    <w:rsid w:val="00A719EB"/>
    <w:rsid w:val="00A7253D"/>
    <w:rsid w:val="00A7532E"/>
    <w:rsid w:val="00A80F44"/>
    <w:rsid w:val="00A811CF"/>
    <w:rsid w:val="00A81FE3"/>
    <w:rsid w:val="00A86C0A"/>
    <w:rsid w:val="00A8763C"/>
    <w:rsid w:val="00A87BC0"/>
    <w:rsid w:val="00A93A2D"/>
    <w:rsid w:val="00AA108D"/>
    <w:rsid w:val="00AA2F4C"/>
    <w:rsid w:val="00AA44E4"/>
    <w:rsid w:val="00AA6CEF"/>
    <w:rsid w:val="00AB1D8F"/>
    <w:rsid w:val="00AB1E69"/>
    <w:rsid w:val="00AB34AD"/>
    <w:rsid w:val="00AB3655"/>
    <w:rsid w:val="00AB4D4B"/>
    <w:rsid w:val="00AB6662"/>
    <w:rsid w:val="00AB71CB"/>
    <w:rsid w:val="00AC5954"/>
    <w:rsid w:val="00AD0F6B"/>
    <w:rsid w:val="00AD2569"/>
    <w:rsid w:val="00AD27F2"/>
    <w:rsid w:val="00AD4891"/>
    <w:rsid w:val="00AD5EE8"/>
    <w:rsid w:val="00AD7868"/>
    <w:rsid w:val="00AE0928"/>
    <w:rsid w:val="00AE242F"/>
    <w:rsid w:val="00AE3929"/>
    <w:rsid w:val="00AE78F1"/>
    <w:rsid w:val="00B03AF7"/>
    <w:rsid w:val="00B10933"/>
    <w:rsid w:val="00B129A7"/>
    <w:rsid w:val="00B143C4"/>
    <w:rsid w:val="00B20B2D"/>
    <w:rsid w:val="00B2205C"/>
    <w:rsid w:val="00B22B94"/>
    <w:rsid w:val="00B22C34"/>
    <w:rsid w:val="00B22FE5"/>
    <w:rsid w:val="00B23677"/>
    <w:rsid w:val="00B24AB7"/>
    <w:rsid w:val="00B3509C"/>
    <w:rsid w:val="00B41374"/>
    <w:rsid w:val="00B443EF"/>
    <w:rsid w:val="00B46630"/>
    <w:rsid w:val="00B542AA"/>
    <w:rsid w:val="00B56CF3"/>
    <w:rsid w:val="00B60B17"/>
    <w:rsid w:val="00B616F1"/>
    <w:rsid w:val="00B67985"/>
    <w:rsid w:val="00B72FBC"/>
    <w:rsid w:val="00B7734D"/>
    <w:rsid w:val="00B82729"/>
    <w:rsid w:val="00B859F4"/>
    <w:rsid w:val="00B92CF5"/>
    <w:rsid w:val="00BA7464"/>
    <w:rsid w:val="00BB43A5"/>
    <w:rsid w:val="00BB7615"/>
    <w:rsid w:val="00BC1C67"/>
    <w:rsid w:val="00BC26B5"/>
    <w:rsid w:val="00BD396E"/>
    <w:rsid w:val="00BD52B8"/>
    <w:rsid w:val="00BE1C59"/>
    <w:rsid w:val="00BE2A8C"/>
    <w:rsid w:val="00BE3AEC"/>
    <w:rsid w:val="00BE6253"/>
    <w:rsid w:val="00BF341F"/>
    <w:rsid w:val="00BF355C"/>
    <w:rsid w:val="00BF3CE8"/>
    <w:rsid w:val="00C00438"/>
    <w:rsid w:val="00C02895"/>
    <w:rsid w:val="00C03722"/>
    <w:rsid w:val="00C07103"/>
    <w:rsid w:val="00C10334"/>
    <w:rsid w:val="00C12769"/>
    <w:rsid w:val="00C206EE"/>
    <w:rsid w:val="00C23A0A"/>
    <w:rsid w:val="00C241A2"/>
    <w:rsid w:val="00C3363A"/>
    <w:rsid w:val="00C34E82"/>
    <w:rsid w:val="00C35CDA"/>
    <w:rsid w:val="00C36ED7"/>
    <w:rsid w:val="00C459DB"/>
    <w:rsid w:val="00C50567"/>
    <w:rsid w:val="00C52815"/>
    <w:rsid w:val="00C57679"/>
    <w:rsid w:val="00C60383"/>
    <w:rsid w:val="00C63DA4"/>
    <w:rsid w:val="00C6547F"/>
    <w:rsid w:val="00C679DB"/>
    <w:rsid w:val="00C7679E"/>
    <w:rsid w:val="00C85D51"/>
    <w:rsid w:val="00C85EBE"/>
    <w:rsid w:val="00C867DA"/>
    <w:rsid w:val="00C86ACA"/>
    <w:rsid w:val="00C94CF3"/>
    <w:rsid w:val="00C950A0"/>
    <w:rsid w:val="00C97523"/>
    <w:rsid w:val="00CA3A2F"/>
    <w:rsid w:val="00CA3BD1"/>
    <w:rsid w:val="00CA7E45"/>
    <w:rsid w:val="00CB02E9"/>
    <w:rsid w:val="00CB5E45"/>
    <w:rsid w:val="00CC2990"/>
    <w:rsid w:val="00CC5117"/>
    <w:rsid w:val="00CC7D20"/>
    <w:rsid w:val="00CC7D25"/>
    <w:rsid w:val="00CD6856"/>
    <w:rsid w:val="00CF3E03"/>
    <w:rsid w:val="00CF75BC"/>
    <w:rsid w:val="00D16282"/>
    <w:rsid w:val="00D16C88"/>
    <w:rsid w:val="00D17B30"/>
    <w:rsid w:val="00D30FC3"/>
    <w:rsid w:val="00D31465"/>
    <w:rsid w:val="00D31796"/>
    <w:rsid w:val="00D34C52"/>
    <w:rsid w:val="00D41DCF"/>
    <w:rsid w:val="00D4290C"/>
    <w:rsid w:val="00D43C26"/>
    <w:rsid w:val="00D55A59"/>
    <w:rsid w:val="00D63253"/>
    <w:rsid w:val="00D656B5"/>
    <w:rsid w:val="00D70AFA"/>
    <w:rsid w:val="00D72082"/>
    <w:rsid w:val="00D733A7"/>
    <w:rsid w:val="00D7651B"/>
    <w:rsid w:val="00D833A6"/>
    <w:rsid w:val="00D8697D"/>
    <w:rsid w:val="00D91CFF"/>
    <w:rsid w:val="00D9280E"/>
    <w:rsid w:val="00D94DEE"/>
    <w:rsid w:val="00D94FEF"/>
    <w:rsid w:val="00D976C2"/>
    <w:rsid w:val="00DA17D4"/>
    <w:rsid w:val="00DA698C"/>
    <w:rsid w:val="00DA7186"/>
    <w:rsid w:val="00DB4965"/>
    <w:rsid w:val="00DB60C0"/>
    <w:rsid w:val="00DB6558"/>
    <w:rsid w:val="00DC1EC0"/>
    <w:rsid w:val="00DC2D3D"/>
    <w:rsid w:val="00DC71A8"/>
    <w:rsid w:val="00DD182C"/>
    <w:rsid w:val="00DD2036"/>
    <w:rsid w:val="00DD285E"/>
    <w:rsid w:val="00DE12D7"/>
    <w:rsid w:val="00DE2475"/>
    <w:rsid w:val="00DE457E"/>
    <w:rsid w:val="00DF222D"/>
    <w:rsid w:val="00DF68A0"/>
    <w:rsid w:val="00DF7F22"/>
    <w:rsid w:val="00E04326"/>
    <w:rsid w:val="00E07021"/>
    <w:rsid w:val="00E11DF3"/>
    <w:rsid w:val="00E2252B"/>
    <w:rsid w:val="00E23059"/>
    <w:rsid w:val="00E3065F"/>
    <w:rsid w:val="00E317DE"/>
    <w:rsid w:val="00E400A3"/>
    <w:rsid w:val="00E472E7"/>
    <w:rsid w:val="00E506E7"/>
    <w:rsid w:val="00E50AAC"/>
    <w:rsid w:val="00E54142"/>
    <w:rsid w:val="00E54360"/>
    <w:rsid w:val="00E54AF9"/>
    <w:rsid w:val="00E57356"/>
    <w:rsid w:val="00E62115"/>
    <w:rsid w:val="00E71CED"/>
    <w:rsid w:val="00E80775"/>
    <w:rsid w:val="00E81352"/>
    <w:rsid w:val="00E82656"/>
    <w:rsid w:val="00E83653"/>
    <w:rsid w:val="00E91A3F"/>
    <w:rsid w:val="00E92A6C"/>
    <w:rsid w:val="00EB1C63"/>
    <w:rsid w:val="00EB45C3"/>
    <w:rsid w:val="00EB50B3"/>
    <w:rsid w:val="00EB6D30"/>
    <w:rsid w:val="00EB6E8F"/>
    <w:rsid w:val="00EB7C29"/>
    <w:rsid w:val="00EC0A76"/>
    <w:rsid w:val="00ED0EA4"/>
    <w:rsid w:val="00ED2212"/>
    <w:rsid w:val="00EE05E4"/>
    <w:rsid w:val="00EE0985"/>
    <w:rsid w:val="00EE46D1"/>
    <w:rsid w:val="00EE7194"/>
    <w:rsid w:val="00EF091C"/>
    <w:rsid w:val="00EF35C3"/>
    <w:rsid w:val="00F03F5B"/>
    <w:rsid w:val="00F147E1"/>
    <w:rsid w:val="00F209DB"/>
    <w:rsid w:val="00F21C5A"/>
    <w:rsid w:val="00F24CE0"/>
    <w:rsid w:val="00F27EF0"/>
    <w:rsid w:val="00F3184D"/>
    <w:rsid w:val="00F31A6B"/>
    <w:rsid w:val="00F31E11"/>
    <w:rsid w:val="00F34FDD"/>
    <w:rsid w:val="00F351B9"/>
    <w:rsid w:val="00F418A5"/>
    <w:rsid w:val="00F43275"/>
    <w:rsid w:val="00F5095C"/>
    <w:rsid w:val="00F536F4"/>
    <w:rsid w:val="00F559D6"/>
    <w:rsid w:val="00F618D7"/>
    <w:rsid w:val="00F7145B"/>
    <w:rsid w:val="00F768A8"/>
    <w:rsid w:val="00F82907"/>
    <w:rsid w:val="00F8333A"/>
    <w:rsid w:val="00F852DE"/>
    <w:rsid w:val="00F92B3E"/>
    <w:rsid w:val="00F949B1"/>
    <w:rsid w:val="00F96C85"/>
    <w:rsid w:val="00FA1F60"/>
    <w:rsid w:val="00FA4DD2"/>
    <w:rsid w:val="00FB0052"/>
    <w:rsid w:val="00FB1F65"/>
    <w:rsid w:val="00FB1FF8"/>
    <w:rsid w:val="00FB2155"/>
    <w:rsid w:val="00FB676D"/>
    <w:rsid w:val="00FD3E61"/>
    <w:rsid w:val="00FD40CA"/>
    <w:rsid w:val="00FD7268"/>
    <w:rsid w:val="00FD7631"/>
    <w:rsid w:val="00FE4FB6"/>
    <w:rsid w:val="00FE680A"/>
    <w:rsid w:val="00FF1DED"/>
    <w:rsid w:val="00FF37DD"/>
    <w:rsid w:val="00FF3F9A"/>
    <w:rsid w:val="00FF517E"/>
    <w:rsid w:val="00FF7AF2"/>
    <w:rsid w:val="015F7AFC"/>
    <w:rsid w:val="016D5852"/>
    <w:rsid w:val="018234DD"/>
    <w:rsid w:val="01B9428D"/>
    <w:rsid w:val="024A27EA"/>
    <w:rsid w:val="027351D3"/>
    <w:rsid w:val="02B24C4B"/>
    <w:rsid w:val="02E25AF3"/>
    <w:rsid w:val="032427D1"/>
    <w:rsid w:val="04382C97"/>
    <w:rsid w:val="044C45F6"/>
    <w:rsid w:val="04507DCD"/>
    <w:rsid w:val="046F3762"/>
    <w:rsid w:val="04BB1714"/>
    <w:rsid w:val="04E84CA3"/>
    <w:rsid w:val="052E1978"/>
    <w:rsid w:val="055B1928"/>
    <w:rsid w:val="05AB06E4"/>
    <w:rsid w:val="05B26AE9"/>
    <w:rsid w:val="063A1F43"/>
    <w:rsid w:val="06400C4E"/>
    <w:rsid w:val="067500F7"/>
    <w:rsid w:val="067F2C20"/>
    <w:rsid w:val="06972EB8"/>
    <w:rsid w:val="069D5AB3"/>
    <w:rsid w:val="06A56F9A"/>
    <w:rsid w:val="06C53372"/>
    <w:rsid w:val="06D50DA9"/>
    <w:rsid w:val="07114388"/>
    <w:rsid w:val="07217774"/>
    <w:rsid w:val="07FC2953"/>
    <w:rsid w:val="08182B07"/>
    <w:rsid w:val="08353552"/>
    <w:rsid w:val="09532F2B"/>
    <w:rsid w:val="09675B5F"/>
    <w:rsid w:val="097C28BC"/>
    <w:rsid w:val="098777BE"/>
    <w:rsid w:val="09974D31"/>
    <w:rsid w:val="09BA35B4"/>
    <w:rsid w:val="0A08546E"/>
    <w:rsid w:val="0A480A2C"/>
    <w:rsid w:val="0A7142DF"/>
    <w:rsid w:val="0A9477B3"/>
    <w:rsid w:val="0AD53F13"/>
    <w:rsid w:val="0AD849C8"/>
    <w:rsid w:val="0B1F29C9"/>
    <w:rsid w:val="0B6170F8"/>
    <w:rsid w:val="0BB30359"/>
    <w:rsid w:val="0C09104D"/>
    <w:rsid w:val="0C343FF1"/>
    <w:rsid w:val="0C7E09F7"/>
    <w:rsid w:val="0C9A24C9"/>
    <w:rsid w:val="0CDC5D43"/>
    <w:rsid w:val="0CE1450F"/>
    <w:rsid w:val="0CFC58BC"/>
    <w:rsid w:val="0D297A98"/>
    <w:rsid w:val="0D701E19"/>
    <w:rsid w:val="0D8C2E07"/>
    <w:rsid w:val="0DA77A6E"/>
    <w:rsid w:val="0DAA7727"/>
    <w:rsid w:val="0DDE700D"/>
    <w:rsid w:val="0E166FCE"/>
    <w:rsid w:val="0E4116DF"/>
    <w:rsid w:val="0E4C3229"/>
    <w:rsid w:val="0E5F1A99"/>
    <w:rsid w:val="0E975183"/>
    <w:rsid w:val="0EFD4862"/>
    <w:rsid w:val="0EFF16A6"/>
    <w:rsid w:val="0F464FB0"/>
    <w:rsid w:val="0F8C5F99"/>
    <w:rsid w:val="0FC4483E"/>
    <w:rsid w:val="0FFC1DD0"/>
    <w:rsid w:val="100C6D43"/>
    <w:rsid w:val="102D151F"/>
    <w:rsid w:val="10624F0B"/>
    <w:rsid w:val="1070222C"/>
    <w:rsid w:val="10795489"/>
    <w:rsid w:val="11047F5B"/>
    <w:rsid w:val="11607E47"/>
    <w:rsid w:val="11803D00"/>
    <w:rsid w:val="11D37ACD"/>
    <w:rsid w:val="12AB4264"/>
    <w:rsid w:val="130559E2"/>
    <w:rsid w:val="13292DA1"/>
    <w:rsid w:val="134401BC"/>
    <w:rsid w:val="135943CE"/>
    <w:rsid w:val="138E17D4"/>
    <w:rsid w:val="13C66C7B"/>
    <w:rsid w:val="13DA0396"/>
    <w:rsid w:val="13F05633"/>
    <w:rsid w:val="141608A6"/>
    <w:rsid w:val="143317C5"/>
    <w:rsid w:val="14390E5C"/>
    <w:rsid w:val="145C5900"/>
    <w:rsid w:val="159230EA"/>
    <w:rsid w:val="15E21943"/>
    <w:rsid w:val="16140F6C"/>
    <w:rsid w:val="16461D5A"/>
    <w:rsid w:val="16714878"/>
    <w:rsid w:val="16B92A70"/>
    <w:rsid w:val="16BC7E7D"/>
    <w:rsid w:val="17611320"/>
    <w:rsid w:val="17653B72"/>
    <w:rsid w:val="176756BC"/>
    <w:rsid w:val="1811296C"/>
    <w:rsid w:val="183F7886"/>
    <w:rsid w:val="18910C32"/>
    <w:rsid w:val="18C61F67"/>
    <w:rsid w:val="192E592B"/>
    <w:rsid w:val="1957654B"/>
    <w:rsid w:val="1A1F43A8"/>
    <w:rsid w:val="1AB437AE"/>
    <w:rsid w:val="1ABA46D4"/>
    <w:rsid w:val="1AD10F75"/>
    <w:rsid w:val="1B515572"/>
    <w:rsid w:val="1BA44AC4"/>
    <w:rsid w:val="1BCD3359"/>
    <w:rsid w:val="1BD87824"/>
    <w:rsid w:val="1C0B20C8"/>
    <w:rsid w:val="1C9B6E8D"/>
    <w:rsid w:val="1CBA3B76"/>
    <w:rsid w:val="1CE45F16"/>
    <w:rsid w:val="1CF06C1D"/>
    <w:rsid w:val="1D2277BB"/>
    <w:rsid w:val="1D6C5B88"/>
    <w:rsid w:val="1DC6338F"/>
    <w:rsid w:val="1DD00A24"/>
    <w:rsid w:val="1DE60C24"/>
    <w:rsid w:val="1DF45B41"/>
    <w:rsid w:val="1E036392"/>
    <w:rsid w:val="1E9F18AD"/>
    <w:rsid w:val="1EA46CF9"/>
    <w:rsid w:val="1ECE2492"/>
    <w:rsid w:val="20497B30"/>
    <w:rsid w:val="204D0607"/>
    <w:rsid w:val="20C01ABF"/>
    <w:rsid w:val="20D12CA6"/>
    <w:rsid w:val="20F05062"/>
    <w:rsid w:val="20F163E0"/>
    <w:rsid w:val="20F8538E"/>
    <w:rsid w:val="21F67A74"/>
    <w:rsid w:val="22AD2EE8"/>
    <w:rsid w:val="22CA517A"/>
    <w:rsid w:val="22D66D82"/>
    <w:rsid w:val="22E662D4"/>
    <w:rsid w:val="23132689"/>
    <w:rsid w:val="23146D4C"/>
    <w:rsid w:val="23254BB7"/>
    <w:rsid w:val="23DC0CAA"/>
    <w:rsid w:val="23DE26FF"/>
    <w:rsid w:val="23FF5E2C"/>
    <w:rsid w:val="2461390D"/>
    <w:rsid w:val="24921882"/>
    <w:rsid w:val="255E5E93"/>
    <w:rsid w:val="259D17E7"/>
    <w:rsid w:val="25CD0C1E"/>
    <w:rsid w:val="25E66CC5"/>
    <w:rsid w:val="261152B1"/>
    <w:rsid w:val="26903A26"/>
    <w:rsid w:val="269F6B17"/>
    <w:rsid w:val="270A412D"/>
    <w:rsid w:val="27301976"/>
    <w:rsid w:val="27311A6D"/>
    <w:rsid w:val="27513B0C"/>
    <w:rsid w:val="27710158"/>
    <w:rsid w:val="27C143DD"/>
    <w:rsid w:val="280536E7"/>
    <w:rsid w:val="281178FD"/>
    <w:rsid w:val="28144605"/>
    <w:rsid w:val="28611FEF"/>
    <w:rsid w:val="28A02BC3"/>
    <w:rsid w:val="28EC67F2"/>
    <w:rsid w:val="290676DC"/>
    <w:rsid w:val="29071D52"/>
    <w:rsid w:val="2A2245A4"/>
    <w:rsid w:val="2A3D18A8"/>
    <w:rsid w:val="2A4667D0"/>
    <w:rsid w:val="2A8477B7"/>
    <w:rsid w:val="2A8C2104"/>
    <w:rsid w:val="2AB10829"/>
    <w:rsid w:val="2ACB2CAF"/>
    <w:rsid w:val="2B536537"/>
    <w:rsid w:val="2B563D7A"/>
    <w:rsid w:val="2B647BEB"/>
    <w:rsid w:val="2BFA049D"/>
    <w:rsid w:val="2C5A6192"/>
    <w:rsid w:val="2C7C14E9"/>
    <w:rsid w:val="2D1E245A"/>
    <w:rsid w:val="2D666C66"/>
    <w:rsid w:val="2D6C5C8A"/>
    <w:rsid w:val="2E150E2A"/>
    <w:rsid w:val="2E3271BD"/>
    <w:rsid w:val="2E3E0F76"/>
    <w:rsid w:val="2E8C3122"/>
    <w:rsid w:val="2EA73AF8"/>
    <w:rsid w:val="2ED2428A"/>
    <w:rsid w:val="2F2F336C"/>
    <w:rsid w:val="2F91147B"/>
    <w:rsid w:val="2FA2412E"/>
    <w:rsid w:val="2FB04DD8"/>
    <w:rsid w:val="2FBB6573"/>
    <w:rsid w:val="2FBC08FF"/>
    <w:rsid w:val="2FCD6CEF"/>
    <w:rsid w:val="30074BDE"/>
    <w:rsid w:val="30126815"/>
    <w:rsid w:val="30234924"/>
    <w:rsid w:val="30827709"/>
    <w:rsid w:val="30CB443F"/>
    <w:rsid w:val="310537D4"/>
    <w:rsid w:val="311E37B6"/>
    <w:rsid w:val="3127477F"/>
    <w:rsid w:val="31302626"/>
    <w:rsid w:val="3158028F"/>
    <w:rsid w:val="316E0802"/>
    <w:rsid w:val="317374EF"/>
    <w:rsid w:val="327C6456"/>
    <w:rsid w:val="32CA1BBA"/>
    <w:rsid w:val="32D779F8"/>
    <w:rsid w:val="32E82781"/>
    <w:rsid w:val="33070B6A"/>
    <w:rsid w:val="3313026C"/>
    <w:rsid w:val="336253F3"/>
    <w:rsid w:val="33A34FC5"/>
    <w:rsid w:val="33B50EC0"/>
    <w:rsid w:val="33D55096"/>
    <w:rsid w:val="34174929"/>
    <w:rsid w:val="343A6C88"/>
    <w:rsid w:val="344A6066"/>
    <w:rsid w:val="349873DC"/>
    <w:rsid w:val="34DD1293"/>
    <w:rsid w:val="35147947"/>
    <w:rsid w:val="36086316"/>
    <w:rsid w:val="360F1B6D"/>
    <w:rsid w:val="365B4F23"/>
    <w:rsid w:val="36E42E29"/>
    <w:rsid w:val="37A01FBC"/>
    <w:rsid w:val="37D16AFA"/>
    <w:rsid w:val="37E417D7"/>
    <w:rsid w:val="37F505C5"/>
    <w:rsid w:val="37F54038"/>
    <w:rsid w:val="382F1EA4"/>
    <w:rsid w:val="3881462B"/>
    <w:rsid w:val="38BF06A4"/>
    <w:rsid w:val="38C509BB"/>
    <w:rsid w:val="38DC1E5B"/>
    <w:rsid w:val="38E14A65"/>
    <w:rsid w:val="38FF3ECD"/>
    <w:rsid w:val="39582180"/>
    <w:rsid w:val="395A7F30"/>
    <w:rsid w:val="396A6EBE"/>
    <w:rsid w:val="39D07618"/>
    <w:rsid w:val="39D83184"/>
    <w:rsid w:val="3A1964CC"/>
    <w:rsid w:val="3A7E6A67"/>
    <w:rsid w:val="3AAE1C94"/>
    <w:rsid w:val="3AEF0EC1"/>
    <w:rsid w:val="3B036F24"/>
    <w:rsid w:val="3B2C1C35"/>
    <w:rsid w:val="3B39619E"/>
    <w:rsid w:val="3B481602"/>
    <w:rsid w:val="3B6623E8"/>
    <w:rsid w:val="3BF533E5"/>
    <w:rsid w:val="3C2750AC"/>
    <w:rsid w:val="3CC33FB7"/>
    <w:rsid w:val="3CE063B6"/>
    <w:rsid w:val="3CEC5478"/>
    <w:rsid w:val="3D566086"/>
    <w:rsid w:val="3E131E5F"/>
    <w:rsid w:val="3E267A5E"/>
    <w:rsid w:val="3E6C676D"/>
    <w:rsid w:val="3EE6343A"/>
    <w:rsid w:val="3EEA524F"/>
    <w:rsid w:val="3F162459"/>
    <w:rsid w:val="3F3E1BC1"/>
    <w:rsid w:val="3F652980"/>
    <w:rsid w:val="3F9B3D7E"/>
    <w:rsid w:val="3FBA4623"/>
    <w:rsid w:val="3FC06070"/>
    <w:rsid w:val="3FF73989"/>
    <w:rsid w:val="3FFA3E53"/>
    <w:rsid w:val="3FFD6C8D"/>
    <w:rsid w:val="40502A26"/>
    <w:rsid w:val="40605527"/>
    <w:rsid w:val="40755AFA"/>
    <w:rsid w:val="409B4947"/>
    <w:rsid w:val="4142724E"/>
    <w:rsid w:val="41BF131A"/>
    <w:rsid w:val="41DE5F62"/>
    <w:rsid w:val="41F80486"/>
    <w:rsid w:val="42051E29"/>
    <w:rsid w:val="421731F9"/>
    <w:rsid w:val="42396C22"/>
    <w:rsid w:val="42713CB8"/>
    <w:rsid w:val="429A10B4"/>
    <w:rsid w:val="42CE748E"/>
    <w:rsid w:val="431A5C4C"/>
    <w:rsid w:val="4347073B"/>
    <w:rsid w:val="437C55D6"/>
    <w:rsid w:val="43B32A77"/>
    <w:rsid w:val="43E33D4E"/>
    <w:rsid w:val="44447B80"/>
    <w:rsid w:val="453B774B"/>
    <w:rsid w:val="45A427E4"/>
    <w:rsid w:val="46006EAB"/>
    <w:rsid w:val="46F20AD4"/>
    <w:rsid w:val="46FC6A12"/>
    <w:rsid w:val="472840D4"/>
    <w:rsid w:val="47890317"/>
    <w:rsid w:val="47CA364D"/>
    <w:rsid w:val="47FE1A2D"/>
    <w:rsid w:val="4804490D"/>
    <w:rsid w:val="48315CB8"/>
    <w:rsid w:val="48CA1DA5"/>
    <w:rsid w:val="48DE5025"/>
    <w:rsid w:val="48E83DC6"/>
    <w:rsid w:val="48F755B9"/>
    <w:rsid w:val="48FC3F85"/>
    <w:rsid w:val="49533B2E"/>
    <w:rsid w:val="495F3AC7"/>
    <w:rsid w:val="496E5FFC"/>
    <w:rsid w:val="49CE2C90"/>
    <w:rsid w:val="4A150DF4"/>
    <w:rsid w:val="4AAB5489"/>
    <w:rsid w:val="4B132390"/>
    <w:rsid w:val="4B245A16"/>
    <w:rsid w:val="4B29344C"/>
    <w:rsid w:val="4B334023"/>
    <w:rsid w:val="4C237A7B"/>
    <w:rsid w:val="4C373527"/>
    <w:rsid w:val="4C644052"/>
    <w:rsid w:val="4C6633D5"/>
    <w:rsid w:val="4C686F75"/>
    <w:rsid w:val="4C9C1024"/>
    <w:rsid w:val="4CA554D6"/>
    <w:rsid w:val="4D7C680F"/>
    <w:rsid w:val="4E0A16C5"/>
    <w:rsid w:val="4E610BD2"/>
    <w:rsid w:val="4E816D01"/>
    <w:rsid w:val="4EAA72A2"/>
    <w:rsid w:val="4EDE247F"/>
    <w:rsid w:val="4F233EDC"/>
    <w:rsid w:val="4F275363"/>
    <w:rsid w:val="4F2D2026"/>
    <w:rsid w:val="4F95321B"/>
    <w:rsid w:val="4FB4169B"/>
    <w:rsid w:val="4FB55259"/>
    <w:rsid w:val="4FD66CEC"/>
    <w:rsid w:val="5015728A"/>
    <w:rsid w:val="50374C1A"/>
    <w:rsid w:val="50716F8D"/>
    <w:rsid w:val="50CA3A0A"/>
    <w:rsid w:val="50D67281"/>
    <w:rsid w:val="50E33C7D"/>
    <w:rsid w:val="510343E5"/>
    <w:rsid w:val="510579F7"/>
    <w:rsid w:val="510D564A"/>
    <w:rsid w:val="51677E4F"/>
    <w:rsid w:val="51EF5CBE"/>
    <w:rsid w:val="521A3806"/>
    <w:rsid w:val="525564B4"/>
    <w:rsid w:val="52604374"/>
    <w:rsid w:val="52F52F32"/>
    <w:rsid w:val="536B2FE6"/>
    <w:rsid w:val="544D237D"/>
    <w:rsid w:val="5461456D"/>
    <w:rsid w:val="54B742A0"/>
    <w:rsid w:val="54BC76B3"/>
    <w:rsid w:val="551350EF"/>
    <w:rsid w:val="55905CC3"/>
    <w:rsid w:val="561F1D2B"/>
    <w:rsid w:val="56491477"/>
    <w:rsid w:val="56994A44"/>
    <w:rsid w:val="56A044CE"/>
    <w:rsid w:val="56A65531"/>
    <w:rsid w:val="56CD3247"/>
    <w:rsid w:val="56EC48C2"/>
    <w:rsid w:val="56FF5019"/>
    <w:rsid w:val="57440951"/>
    <w:rsid w:val="578678C4"/>
    <w:rsid w:val="57B5259B"/>
    <w:rsid w:val="57CF551C"/>
    <w:rsid w:val="585A35E0"/>
    <w:rsid w:val="586A2ED6"/>
    <w:rsid w:val="58BF2A6C"/>
    <w:rsid w:val="59384E5B"/>
    <w:rsid w:val="5966124D"/>
    <w:rsid w:val="59742934"/>
    <w:rsid w:val="598F3FFA"/>
    <w:rsid w:val="59CD3FF3"/>
    <w:rsid w:val="5A000F0B"/>
    <w:rsid w:val="5B257F13"/>
    <w:rsid w:val="5BDB3ECE"/>
    <w:rsid w:val="5BE50B74"/>
    <w:rsid w:val="5C1E3D64"/>
    <w:rsid w:val="5C943918"/>
    <w:rsid w:val="5CA4442A"/>
    <w:rsid w:val="5D4709F6"/>
    <w:rsid w:val="5EA7576E"/>
    <w:rsid w:val="5ED30574"/>
    <w:rsid w:val="5EFC135D"/>
    <w:rsid w:val="5F7A4084"/>
    <w:rsid w:val="6096058A"/>
    <w:rsid w:val="6190237D"/>
    <w:rsid w:val="61905EFB"/>
    <w:rsid w:val="61B33747"/>
    <w:rsid w:val="625A334C"/>
    <w:rsid w:val="64144AD1"/>
    <w:rsid w:val="64453283"/>
    <w:rsid w:val="65526917"/>
    <w:rsid w:val="65567D98"/>
    <w:rsid w:val="656312D9"/>
    <w:rsid w:val="65B13F23"/>
    <w:rsid w:val="65BB28EE"/>
    <w:rsid w:val="66582F0C"/>
    <w:rsid w:val="6694184A"/>
    <w:rsid w:val="66ED50C5"/>
    <w:rsid w:val="670503F2"/>
    <w:rsid w:val="675B2367"/>
    <w:rsid w:val="67755F26"/>
    <w:rsid w:val="67F72090"/>
    <w:rsid w:val="684528BB"/>
    <w:rsid w:val="686C6B7B"/>
    <w:rsid w:val="68D60954"/>
    <w:rsid w:val="68DE01E3"/>
    <w:rsid w:val="68F73C35"/>
    <w:rsid w:val="69036D55"/>
    <w:rsid w:val="690C66E0"/>
    <w:rsid w:val="694A2899"/>
    <w:rsid w:val="6955731B"/>
    <w:rsid w:val="699D0E21"/>
    <w:rsid w:val="69C130C0"/>
    <w:rsid w:val="6A157A74"/>
    <w:rsid w:val="6A203236"/>
    <w:rsid w:val="6A482813"/>
    <w:rsid w:val="6A6F1A73"/>
    <w:rsid w:val="6AA208BD"/>
    <w:rsid w:val="6AB56681"/>
    <w:rsid w:val="6AF11818"/>
    <w:rsid w:val="6B2F1B41"/>
    <w:rsid w:val="6B387135"/>
    <w:rsid w:val="6BEB7BC8"/>
    <w:rsid w:val="6CD27D15"/>
    <w:rsid w:val="6D18628B"/>
    <w:rsid w:val="6D1B2BDC"/>
    <w:rsid w:val="6D1C4507"/>
    <w:rsid w:val="6D20112D"/>
    <w:rsid w:val="6D474C41"/>
    <w:rsid w:val="6D7252ED"/>
    <w:rsid w:val="6DB56ADB"/>
    <w:rsid w:val="6E0D62B9"/>
    <w:rsid w:val="6E386B2A"/>
    <w:rsid w:val="6E9C1BA6"/>
    <w:rsid w:val="6EFC06E8"/>
    <w:rsid w:val="6F352BF7"/>
    <w:rsid w:val="6F3D4118"/>
    <w:rsid w:val="6F593B75"/>
    <w:rsid w:val="6F850757"/>
    <w:rsid w:val="6F987A94"/>
    <w:rsid w:val="6FDB5598"/>
    <w:rsid w:val="701B7E62"/>
    <w:rsid w:val="70810A07"/>
    <w:rsid w:val="70ED412B"/>
    <w:rsid w:val="70FD150D"/>
    <w:rsid w:val="714E76A1"/>
    <w:rsid w:val="71A822CB"/>
    <w:rsid w:val="71AB4D0B"/>
    <w:rsid w:val="72035AD5"/>
    <w:rsid w:val="723111D9"/>
    <w:rsid w:val="72422FA7"/>
    <w:rsid w:val="728E5B64"/>
    <w:rsid w:val="72A25329"/>
    <w:rsid w:val="737A5E0E"/>
    <w:rsid w:val="73D910C3"/>
    <w:rsid w:val="74172784"/>
    <w:rsid w:val="744A79EB"/>
    <w:rsid w:val="74CE23CA"/>
    <w:rsid w:val="75A30055"/>
    <w:rsid w:val="75BD358F"/>
    <w:rsid w:val="75ED3C23"/>
    <w:rsid w:val="760B0A13"/>
    <w:rsid w:val="767871BF"/>
    <w:rsid w:val="767A19D8"/>
    <w:rsid w:val="768A502D"/>
    <w:rsid w:val="7691545E"/>
    <w:rsid w:val="76BA7EA4"/>
    <w:rsid w:val="76C10110"/>
    <w:rsid w:val="76C4072A"/>
    <w:rsid w:val="76EC2FDC"/>
    <w:rsid w:val="77507F02"/>
    <w:rsid w:val="77725321"/>
    <w:rsid w:val="77DD1D98"/>
    <w:rsid w:val="780E06FD"/>
    <w:rsid w:val="783909DE"/>
    <w:rsid w:val="78454641"/>
    <w:rsid w:val="784E057C"/>
    <w:rsid w:val="79600E68"/>
    <w:rsid w:val="79684AB8"/>
    <w:rsid w:val="798A04A4"/>
    <w:rsid w:val="798C53D1"/>
    <w:rsid w:val="79AC3C90"/>
    <w:rsid w:val="79EF774D"/>
    <w:rsid w:val="7A2969F6"/>
    <w:rsid w:val="7A897653"/>
    <w:rsid w:val="7A9E140F"/>
    <w:rsid w:val="7C974765"/>
    <w:rsid w:val="7CB67F0A"/>
    <w:rsid w:val="7CC47C5C"/>
    <w:rsid w:val="7CD1446D"/>
    <w:rsid w:val="7CF423CC"/>
    <w:rsid w:val="7D720758"/>
    <w:rsid w:val="7E4E73DE"/>
    <w:rsid w:val="7E7C69F3"/>
    <w:rsid w:val="7EF33F80"/>
    <w:rsid w:val="7FEF7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autoRedefine/>
    <w:qFormat/>
    <w:uiPriority w:val="0"/>
    <w:pPr>
      <w:spacing w:beforeAutospacing="1" w:afterAutospacing="1"/>
      <w:jc w:val="left"/>
      <w:outlineLvl w:val="0"/>
    </w:pPr>
    <w:rPr>
      <w:rFonts w:hint="eastAsia" w:ascii="宋体" w:hAnsi="宋体"/>
      <w:b/>
      <w:kern w:val="44"/>
      <w:sz w:val="48"/>
      <w:szCs w:val="48"/>
    </w:rPr>
  </w:style>
  <w:style w:type="paragraph" w:styleId="5">
    <w:name w:val="heading 4"/>
    <w:basedOn w:val="1"/>
    <w:next w:val="1"/>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spacing w:line="500" w:lineRule="exact"/>
      <w:ind w:firstLine="420"/>
    </w:pPr>
    <w:rPr>
      <w:rFonts w:eastAsia="楷体_GB2312"/>
    </w:rPr>
  </w:style>
  <w:style w:type="paragraph" w:styleId="3">
    <w:name w:val="Body Text"/>
    <w:basedOn w:val="1"/>
    <w:autoRedefine/>
    <w:qFormat/>
    <w:uiPriority w:val="0"/>
    <w:rPr>
      <w:rFonts w:ascii="华文中宋" w:eastAsia="华文中宋"/>
      <w:bCs/>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alloon Text"/>
    <w:basedOn w:val="1"/>
    <w:link w:val="25"/>
    <w:autoRedefine/>
    <w:semiHidden/>
    <w:unhideWhenUsed/>
    <w:qFormat/>
    <w:uiPriority w:val="0"/>
    <w:rPr>
      <w:sz w:val="18"/>
      <w:szCs w:val="18"/>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List"/>
    <w:basedOn w:val="1"/>
    <w:autoRedefine/>
    <w:qFormat/>
    <w:uiPriority w:val="0"/>
    <w:pPr>
      <w:numPr>
        <w:ilvl w:val="0"/>
        <w:numId w:val="1"/>
      </w:numPr>
      <w:autoSpaceDE w:val="0"/>
      <w:autoSpaceDN w:val="0"/>
      <w:adjustRightInd w:val="0"/>
      <w:spacing w:line="288" w:lineRule="auto"/>
      <w:textAlignment w:val="baseline"/>
    </w:pPr>
    <w:rPr>
      <w:kern w:val="0"/>
      <w:szCs w:val="20"/>
      <w:lang w:val="en-GB"/>
    </w:rPr>
  </w:style>
  <w:style w:type="paragraph" w:styleId="12">
    <w:name w:val="Normal (Web)"/>
    <w:basedOn w:val="1"/>
    <w:autoRedefine/>
    <w:qFormat/>
    <w:uiPriority w:val="0"/>
    <w:pPr>
      <w:jc w:val="left"/>
    </w:pPr>
    <w:rPr>
      <w:kern w:val="0"/>
      <w:sz w:val="24"/>
    </w:rPr>
  </w:style>
  <w:style w:type="character" w:styleId="15">
    <w:name w:val="Strong"/>
    <w:basedOn w:val="14"/>
    <w:autoRedefine/>
    <w:qFormat/>
    <w:uiPriority w:val="0"/>
    <w:rPr>
      <w:b/>
    </w:rPr>
  </w:style>
  <w:style w:type="character" w:styleId="16">
    <w:name w:val="FollowedHyperlink"/>
    <w:basedOn w:val="14"/>
    <w:autoRedefine/>
    <w:qFormat/>
    <w:uiPriority w:val="0"/>
    <w:rPr>
      <w:color w:val="000000"/>
      <w:u w:val="none"/>
    </w:rPr>
  </w:style>
  <w:style w:type="character" w:styleId="17">
    <w:name w:val="Emphasis"/>
    <w:basedOn w:val="14"/>
    <w:autoRedefine/>
    <w:qFormat/>
    <w:uiPriority w:val="0"/>
    <w:rPr>
      <w:i/>
    </w:rPr>
  </w:style>
  <w:style w:type="character" w:styleId="18">
    <w:name w:val="Hyperlink"/>
    <w:basedOn w:val="14"/>
    <w:autoRedefine/>
    <w:qFormat/>
    <w:uiPriority w:val="0"/>
    <w:rPr>
      <w:color w:val="000000"/>
      <w:u w:val="none"/>
    </w:rPr>
  </w:style>
  <w:style w:type="character" w:customStyle="1" w:styleId="19">
    <w:name w:val="NormalCharacter"/>
    <w:autoRedefine/>
    <w:semiHidden/>
    <w:qFormat/>
    <w:uiPriority w:val="0"/>
  </w:style>
  <w:style w:type="character" w:customStyle="1" w:styleId="20">
    <w:name w:val="yhf"/>
    <w:basedOn w:val="14"/>
    <w:autoRedefine/>
    <w:qFormat/>
    <w:uiPriority w:val="0"/>
    <w:rPr>
      <w:color w:val="E76D00"/>
    </w:rPr>
  </w:style>
  <w:style w:type="character" w:customStyle="1" w:styleId="21">
    <w:name w:val="yhf1"/>
    <w:basedOn w:val="14"/>
    <w:autoRedefine/>
    <w:qFormat/>
    <w:uiPriority w:val="0"/>
    <w:rPr>
      <w:color w:val="E76D00"/>
    </w:rPr>
  </w:style>
  <w:style w:type="character" w:customStyle="1" w:styleId="22">
    <w:name w:val="yhf2"/>
    <w:basedOn w:val="14"/>
    <w:autoRedefine/>
    <w:qFormat/>
    <w:uiPriority w:val="0"/>
    <w:rPr>
      <w:color w:val="E76D00"/>
    </w:rPr>
  </w:style>
  <w:style w:type="character" w:customStyle="1" w:styleId="23">
    <w:name w:val="selected"/>
    <w:basedOn w:val="14"/>
    <w:autoRedefine/>
    <w:qFormat/>
    <w:uiPriority w:val="0"/>
  </w:style>
  <w:style w:type="paragraph" w:styleId="24">
    <w:name w:val="List Paragraph"/>
    <w:basedOn w:val="1"/>
    <w:autoRedefine/>
    <w:qFormat/>
    <w:uiPriority w:val="99"/>
    <w:pPr>
      <w:ind w:firstLine="420" w:firstLineChars="200"/>
    </w:pPr>
  </w:style>
  <w:style w:type="character" w:customStyle="1" w:styleId="25">
    <w:name w:val="批注框文本 Char"/>
    <w:basedOn w:val="14"/>
    <w:link w:val="8"/>
    <w:autoRedefine/>
    <w:semiHidden/>
    <w:qFormat/>
    <w:uiPriority w:val="0"/>
    <w:rPr>
      <w:rFonts w:ascii="Calibri" w:hAnsi="Calibri"/>
      <w:kern w:val="2"/>
      <w:sz w:val="18"/>
      <w:szCs w:val="18"/>
    </w:rPr>
  </w:style>
  <w:style w:type="paragraph" w:styleId="26">
    <w:name w:val="No Spacing"/>
    <w:autoRedefine/>
    <w:qFormat/>
    <w:uiPriority w:val="1"/>
    <w:pPr>
      <w:adjustRightInd w:val="0"/>
      <w:snapToGrid w:val="0"/>
    </w:pPr>
    <w:rPr>
      <w:rFonts w:ascii="Tahoma" w:hAnsi="Tahoma" w:eastAsia="微软雅黑" w:cstheme="minorBidi"/>
      <w:sz w:val="22"/>
      <w:szCs w:val="22"/>
      <w:lang w:val="en-US" w:eastAsia="zh-CN" w:bidi="ar-SA"/>
    </w:rPr>
  </w:style>
  <w:style w:type="paragraph" w:customStyle="1" w:styleId="27">
    <w:name w:val="fontsize16"/>
    <w:basedOn w:val="1"/>
    <w:autoRedefine/>
    <w:qFormat/>
    <w:uiPriority w:val="0"/>
    <w:pPr>
      <w:widowControl/>
      <w:spacing w:before="60" w:after="60"/>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7332</Words>
  <Characters>7553</Characters>
  <Lines>62</Lines>
  <Paragraphs>17</Paragraphs>
  <TotalTime>27</TotalTime>
  <ScaleCrop>false</ScaleCrop>
  <LinksUpToDate>false</LinksUpToDate>
  <CharactersWithSpaces>7553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2020-12-11T05:12:00Z</dcterms:created>
  <dc:creator>syw</dc:creator>
  <cp:lastModifiedBy>Administrator</cp:lastModifiedBy>
  <cp:lastPrinted>2024-10-22T03:11:00Z</cp:lastPrinted>
  <dcterms:modified xsi:type="dcterms:W3CDTF">2025-01-24T06:27:17Z</dcterms:modified>
  <cp:revision>384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KSOSaveFontToCloudKey">
    <vt:lpwstr>424871056_cloud</vt:lpwstr>
  </property>
  <property fmtid="{D5CDD505-2E9C-101B-9397-08002B2CF9AE}" pid="4" name="ICV">
    <vt:lpwstr>F3A2F345DA584DBBBE1BC11817013676_13</vt:lpwstr>
  </property>
</Properties>
</file>