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蠡湖街道20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23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年债权债务情况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说明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为深入贯彻落实省、市、区委关于坚决打赢防范化解重大风险攻坚战的决策部署，稳妥化解存量债务，坚决遏制隐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形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债务，蠡湖街道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根据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研究制定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债务化解总体方案和年度具体方案，落实相应保障措施，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同时根据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每年预期变化情况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及时调整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，加大债务化解力度，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较好的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完成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地方政府隐性债务化解的目标要求。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atLeas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通过加强对蠡湖街道现金流、可变现资产的管理，利用盘活存量资产变现、加大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蠡湖街道楼宇招商引资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力度、加快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土地出让进程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，落实完成地方政府隐性债务化解目标任务，确保地方政府隐性债务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逐年递减，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不出险、不违规。主动加强地方政府隐性债务管理工作，提高债务统计质量，强化债务分析，全面掌握资产负债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还本付息、财政运行等情况，夯实数据基础，实时跟踪风险变化，牢牢守住不发生区域性系统性风险的底线，进一步加强国资管理，逐年提高现有经营性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资产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的收益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切实防范和化解地方政府性债务风险，维护经济安全和社会稳定。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lMTM1MzBhZWUzOTQxMjVkNmY3NTRiNGY3MjI4OTgifQ=="/>
  </w:docVars>
  <w:rsids>
    <w:rsidRoot w:val="00EC681D"/>
    <w:rsid w:val="002C2190"/>
    <w:rsid w:val="0057657E"/>
    <w:rsid w:val="00776AAE"/>
    <w:rsid w:val="0089524B"/>
    <w:rsid w:val="00BE2FB0"/>
    <w:rsid w:val="00EC681D"/>
    <w:rsid w:val="07E9026B"/>
    <w:rsid w:val="623A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393</Words>
  <Characters>396</Characters>
  <Lines>3</Lines>
  <Paragraphs>1</Paragraphs>
  <TotalTime>9</TotalTime>
  <ScaleCrop>false</ScaleCrop>
  <LinksUpToDate>false</LinksUpToDate>
  <CharactersWithSpaces>396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2019-12-02T01:27:00Z</dcterms:created>
  <dc:creator>AutoBVT</dc:creator>
  <cp:lastModifiedBy>IdeaBank</cp:lastModifiedBy>
  <dcterms:modified xsi:type="dcterms:W3CDTF">2024-05-21T07:42:13Z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E8E92E9D72864083B282ECA7891EC898</vt:lpwstr>
  </property>
</Properties>
</file>