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rFonts w:hint="eastAsia" w:ascii="方正小标宋_GBK" w:hAnsi="方正小标宋_GBK" w:eastAsia="方正小标宋_GBK" w:cs="方正小标宋_GBK"/>
          <w:sz w:val="44"/>
          <w:szCs w:val="44"/>
          <w:lang w:val="en-US" w:eastAsia="zh-CN"/>
        </w:rPr>
      </w:pPr>
    </w:p>
    <w:p>
      <w:pPr>
        <w:bidi w:val="0"/>
        <w:jc w:val="center"/>
        <w:rPr>
          <w:rFonts w:hint="eastAsia" w:ascii="方正小标宋_GBK" w:hAnsi="方正小标宋_GBK" w:eastAsia="方正小标宋_GBK" w:cs="方正小标宋_GBK"/>
          <w:sz w:val="44"/>
          <w:szCs w:val="44"/>
          <w:lang w:val="en-US" w:eastAsia="zh-CN"/>
        </w:rPr>
      </w:pPr>
    </w:p>
    <w:p>
      <w:pPr>
        <w:bidi w:val="0"/>
        <w:jc w:val="center"/>
        <w:rPr>
          <w:rFonts w:hint="eastAsia" w:ascii="方正小标宋_GBK" w:hAnsi="方正小标宋_GBK" w:eastAsia="方正小标宋_GBK" w:cs="方正小标宋_GBK"/>
          <w:sz w:val="44"/>
          <w:szCs w:val="44"/>
          <w:lang w:val="en-US" w:eastAsia="zh-CN"/>
        </w:rPr>
      </w:pPr>
    </w:p>
    <w:p>
      <w:pPr>
        <w:bidi w:val="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72"/>
          <w:szCs w:val="72"/>
          <w:lang w:val="en-US" w:eastAsia="zh-CN"/>
        </w:rPr>
        <w:t>无锡市滨湖区涉企</w:t>
      </w:r>
      <w:r>
        <w:rPr>
          <w:rFonts w:hint="eastAsia" w:ascii="方正小标宋_GBK" w:hAnsi="方正小标宋_GBK" w:eastAsia="方正小标宋_GBK" w:cs="方正小标宋_GBK"/>
          <w:sz w:val="72"/>
          <w:szCs w:val="72"/>
        </w:rPr>
        <w:t>行政合规指导清单</w:t>
      </w:r>
    </w:p>
    <w:p>
      <w:pPr>
        <w:bidi w:val="0"/>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w:t>
      </w:r>
      <w:r>
        <w:rPr>
          <w:rFonts w:hint="eastAsia" w:ascii="方正小标宋_GBK" w:hAnsi="方正小标宋_GBK" w:eastAsia="方正小标宋_GBK" w:cs="方正小标宋_GBK"/>
          <w:sz w:val="44"/>
          <w:szCs w:val="44"/>
          <w:lang w:val="en-US" w:eastAsia="zh-CN"/>
        </w:rPr>
        <w:t>第一批</w:t>
      </w:r>
      <w:r>
        <w:rPr>
          <w:rFonts w:hint="eastAsia" w:ascii="方正小标宋_GBK" w:hAnsi="方正小标宋_GBK" w:eastAsia="方正小标宋_GBK" w:cs="方正小标宋_GBK"/>
          <w:sz w:val="44"/>
          <w:szCs w:val="44"/>
          <w:lang w:eastAsia="zh-CN"/>
        </w:rPr>
        <w:t>）</w:t>
      </w:r>
    </w:p>
    <w:p>
      <w:pPr>
        <w:bidi w:val="0"/>
        <w:jc w:val="center"/>
        <w:rPr>
          <w:rFonts w:hint="eastAsia" w:ascii="方正小标宋_GBK" w:hAnsi="方正小标宋_GBK" w:eastAsia="方正小标宋_GBK" w:cs="方正小标宋_GBK"/>
          <w:sz w:val="40"/>
          <w:szCs w:val="40"/>
        </w:rPr>
      </w:pPr>
    </w:p>
    <w:p>
      <w:pPr>
        <w:bidi w:val="0"/>
        <w:jc w:val="center"/>
        <w:rPr>
          <w:rFonts w:hint="eastAsia" w:ascii="方正小标宋_GBK" w:hAnsi="方正小标宋_GBK" w:eastAsia="方正小标宋_GBK" w:cs="方正小标宋_GBK"/>
          <w:sz w:val="40"/>
          <w:szCs w:val="40"/>
        </w:rPr>
      </w:pPr>
    </w:p>
    <w:p>
      <w:pPr>
        <w:bidi w:val="0"/>
        <w:jc w:val="center"/>
        <w:rPr>
          <w:rFonts w:hint="eastAsia" w:ascii="方正小标宋_GBK" w:hAnsi="方正小标宋_GBK" w:eastAsia="方正小标宋_GBK" w:cs="方正小标宋_GBK"/>
          <w:sz w:val="40"/>
          <w:szCs w:val="40"/>
        </w:rPr>
      </w:pP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中共无锡市滨湖区委全面依法治区委员会办公室</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无锡市滨湖区司法局</w:t>
      </w:r>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无锡市滨湖区工商业联合会</w:t>
      </w:r>
    </w:p>
    <w:p>
      <w:pPr>
        <w:bidi w:val="0"/>
        <w:jc w:val="both"/>
        <w:rPr>
          <w:rFonts w:hint="default" w:ascii="Times New Roman" w:hAnsi="Times New Roman" w:eastAsia="方正小标宋_GBK" w:cs="Times New Roman"/>
          <w:sz w:val="32"/>
          <w:szCs w:val="32"/>
          <w:lang w:val="en-US" w:eastAsia="zh-CN"/>
        </w:rPr>
      </w:pPr>
    </w:p>
    <w:p>
      <w:pPr>
        <w:bidi w:val="0"/>
        <w:jc w:val="center"/>
        <w:rPr>
          <w:rFonts w:hint="eastAsia" w:ascii="方正小标宋_GBK" w:hAnsi="方正小标宋_GBK" w:eastAsia="方正小标宋_GBK" w:cs="方正小标宋_GBK"/>
          <w:sz w:val="36"/>
          <w:szCs w:val="36"/>
          <w:lang w:val="en-US" w:eastAsia="zh-CN"/>
        </w:rPr>
      </w:pPr>
      <w:r>
        <w:rPr>
          <w:rFonts w:hint="eastAsia" w:ascii="宋体" w:hAnsi="宋体" w:eastAsia="宋体" w:cs="宋体"/>
          <w:sz w:val="36"/>
          <w:szCs w:val="36"/>
          <w:lang w:val="en-US" w:eastAsia="zh-CN"/>
        </w:rPr>
        <w:t>2023</w:t>
      </w:r>
      <w:r>
        <w:rPr>
          <w:rFonts w:hint="eastAsia" w:ascii="方正小标宋_GBK" w:hAnsi="方正小标宋_GBK" w:eastAsia="方正小标宋_GBK" w:cs="方正小标宋_GBK"/>
          <w:sz w:val="36"/>
          <w:szCs w:val="36"/>
          <w:lang w:val="en-US" w:eastAsia="zh-CN"/>
        </w:rPr>
        <w:t>年</w:t>
      </w:r>
      <w:r>
        <w:rPr>
          <w:rFonts w:hint="eastAsia" w:ascii="宋体" w:hAnsi="宋体" w:eastAsia="宋体" w:cs="宋体"/>
          <w:sz w:val="36"/>
          <w:szCs w:val="36"/>
          <w:lang w:val="en-US" w:eastAsia="zh-CN"/>
        </w:rPr>
        <w:t>11</w:t>
      </w:r>
      <w:r>
        <w:rPr>
          <w:rFonts w:hint="eastAsia" w:ascii="方正小标宋_GBK" w:hAnsi="方正小标宋_GBK" w:eastAsia="方正小标宋_GBK" w:cs="方正小标宋_GBK"/>
          <w:sz w:val="36"/>
          <w:szCs w:val="36"/>
          <w:lang w:val="en-US" w:eastAsia="zh-CN"/>
        </w:rPr>
        <w:t>月</w:t>
      </w:r>
    </w:p>
    <w:p>
      <w:pPr>
        <w:jc w:val="center"/>
        <w:rPr>
          <w:rFonts w:hint="eastAsia" w:ascii="方正小标宋_GBK" w:hAnsi="方正小标宋_GBK" w:eastAsia="方正小标宋_GBK" w:cs="方正小标宋_GBK"/>
          <w:sz w:val="48"/>
          <w:szCs w:val="48"/>
          <w:lang w:val="en-US" w:eastAsia="zh-CN"/>
        </w:rPr>
        <w:sectPr>
          <w:pgSz w:w="16840" w:h="11910" w:orient="landscape"/>
          <w:pgMar w:top="1100" w:right="960" w:bottom="280" w:left="1260" w:header="720" w:footer="720" w:gutter="0"/>
          <w:pgNumType w:fmt="decimal"/>
          <w:cols w:space="720" w:num="1"/>
        </w:sectPr>
      </w:pPr>
    </w:p>
    <w:sdt>
      <w:sdtPr>
        <w:rPr>
          <w:rFonts w:ascii="宋体" w:hAnsi="宋体" w:eastAsia="宋体" w:cs="宋体"/>
          <w:sz w:val="21"/>
          <w:szCs w:val="22"/>
          <w:lang w:val="zh-CN" w:eastAsia="zh-CN" w:bidi="zh-CN"/>
        </w:rPr>
        <w:id w:val="147481739"/>
        <w15:color w:val="DBDBDB"/>
        <w:docPartObj>
          <w:docPartGallery w:val="Table of Contents"/>
          <w:docPartUnique/>
        </w:docPartObj>
      </w:sdtPr>
      <w:sdtEndPr>
        <w:rPr>
          <w:rFonts w:hint="eastAsia" w:ascii="方正小标宋_GBK" w:hAnsi="方正小标宋_GBK" w:eastAsia="方正小标宋_GBK" w:cs="方正小标宋_GBK"/>
          <w:sz w:val="22"/>
          <w:szCs w:val="48"/>
          <w:lang w:val="en-US" w:eastAsia="zh-CN" w:bidi="zh-CN"/>
        </w:rPr>
      </w:sdtEndPr>
      <w:sdtContent>
        <w:p>
          <w:pPr>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目录</w:t>
          </w:r>
        </w:p>
        <w:p>
          <w:pPr>
            <w:spacing w:before="0" w:beforeLines="0" w:after="0" w:afterLines="0" w:line="240" w:lineRule="auto"/>
            <w:ind w:left="0" w:leftChars="0" w:right="0" w:rightChars="0" w:firstLine="0" w:firstLineChars="0"/>
            <w:jc w:val="center"/>
            <w:rPr>
              <w:rFonts w:hint="eastAsia" w:ascii="方正小标宋_GBK" w:hAnsi="方正小标宋_GBK" w:eastAsia="方正小标宋_GBK" w:cs="方正小标宋_GBK"/>
              <w:sz w:val="44"/>
              <w:szCs w:val="44"/>
            </w:rPr>
          </w:pP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小标宋_GBK" w:cs="Times New Roman"/>
              <w:sz w:val="30"/>
              <w:szCs w:val="30"/>
              <w:lang w:val="en-US" w:eastAsia="zh-CN"/>
            </w:rPr>
            <w:t>1.</w:t>
          </w:r>
          <w:r>
            <w:rPr>
              <w:rFonts w:hint="default" w:ascii="Times New Roman" w:hAnsi="Times New Roman" w:eastAsia="方正小标宋_GBK" w:cs="Times New Roman"/>
              <w:sz w:val="48"/>
              <w:szCs w:val="48"/>
              <w:lang w:val="en-US" w:eastAsia="zh-CN"/>
            </w:rPr>
            <w:fldChar w:fldCharType="begin"/>
          </w:r>
          <w:r>
            <w:rPr>
              <w:rFonts w:hint="default" w:ascii="Times New Roman" w:hAnsi="Times New Roman" w:eastAsia="方正小标宋_GBK" w:cs="Times New Roman"/>
              <w:sz w:val="48"/>
              <w:szCs w:val="48"/>
              <w:lang w:val="en-US" w:eastAsia="zh-CN"/>
            </w:rPr>
            <w:instrText xml:space="preserve">TOC \o "1-1" \h \u </w:instrText>
          </w:r>
          <w:r>
            <w:rPr>
              <w:rFonts w:hint="default" w:ascii="Times New Roman" w:hAnsi="Times New Roman" w:eastAsia="方正小标宋_GBK" w:cs="Times New Roman"/>
              <w:sz w:val="48"/>
              <w:szCs w:val="48"/>
              <w:lang w:val="en-US" w:eastAsia="zh-CN"/>
            </w:rPr>
            <w:fldChar w:fldCharType="separate"/>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_Toc20201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无锡市滨湖区财政局涉企行政合规指导清单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_Toc20201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1</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2.</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_Toc19337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无锡市滨湖区城市管理局涉企行政合规指导清单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_Toc19337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3</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3.</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_Toc31760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无锡市滨湖区交通运输局涉企行政合规指导清单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_Toc31760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10</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4.</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_Toc32695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无锡市滨湖区教育局涉企行政合规指导清单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_Toc32695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13</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5.</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_Toc23492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无锡市滨湖区农业农村局涉企行政合规指导清单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_Toc23492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14</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6.</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_Toc24197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无锡市滨湖区行政审批局涉企行政合规指导清单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_Toc24197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19</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7.</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_Toc28084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无锡市滨湖区市场监督管理局涉企行政合规指导清单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_Toc28084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23</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8.</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_Toc9531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无锡市滨湖区水利局涉企行政合规指导清单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_Toc9531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64</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lang w:val="en-US" w:eastAsia="zh-CN"/>
            </w:rPr>
            <w:t>9.</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_Toc3356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无锡市滨湖区卫生健康委员会涉企行政合规指导清单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_Toc3356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66</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pStyle w:val="7"/>
            <w:keepNext w:val="0"/>
            <w:keepLines w:val="0"/>
            <w:pageBreakBefore w:val="0"/>
            <w:widowControl w:val="0"/>
            <w:tabs>
              <w:tab w:val="right" w:leader="middleDot" w:pos="13640"/>
            </w:tabs>
            <w:kinsoku/>
            <w:wordWrap/>
            <w:overflowPunct/>
            <w:topLinePunct w:val="0"/>
            <w:autoSpaceDE w:val="0"/>
            <w:autoSpaceDN w:val="0"/>
            <w:bidi w:val="0"/>
            <w:adjustRightInd/>
            <w:snapToGrid/>
            <w:spacing w:line="360" w:lineRule="auto"/>
            <w:ind w:left="0" w:leftChars="0" w:right="759" w:rightChars="345" w:firstLine="1098" w:firstLineChars="366"/>
            <w:jc w:val="center"/>
            <w:textAlignment w:val="auto"/>
            <w:rPr>
              <w:rFonts w:hint="default" w:ascii="Times New Roman" w:hAnsi="Times New Roman" w:cs="Times New Roman"/>
            </w:rPr>
          </w:pPr>
          <w:r>
            <w:rPr>
              <w:rFonts w:hint="default" w:ascii="Times New Roman" w:hAnsi="Times New Roman" w:eastAsia="方正仿宋_GBK" w:cs="Times New Roman"/>
              <w:sz w:val="30"/>
              <w:szCs w:val="30"/>
              <w:lang w:val="en-US" w:eastAsia="zh-CN"/>
            </w:rPr>
            <w:t>10.</w:t>
          </w:r>
          <w:r>
            <w:rPr>
              <w:rFonts w:hint="default" w:ascii="Times New Roman" w:hAnsi="Times New Roman" w:eastAsia="方正仿宋_GBK" w:cs="Times New Roman"/>
              <w:sz w:val="30"/>
              <w:szCs w:val="30"/>
              <w:lang w:val="en-US" w:eastAsia="zh-CN"/>
            </w:rPr>
            <w:fldChar w:fldCharType="begin"/>
          </w:r>
          <w:r>
            <w:rPr>
              <w:rFonts w:hint="default" w:ascii="Times New Roman" w:hAnsi="Times New Roman" w:eastAsia="方正仿宋_GBK" w:cs="Times New Roman"/>
              <w:sz w:val="30"/>
              <w:szCs w:val="30"/>
              <w:lang w:val="en-US" w:eastAsia="zh-CN"/>
            </w:rPr>
            <w:instrText xml:space="preserve"> HYPERLINK \l _Toc12555 </w:instrText>
          </w:r>
          <w:r>
            <w:rPr>
              <w:rFonts w:hint="default" w:ascii="Times New Roman" w:hAnsi="Times New Roman" w:eastAsia="方正仿宋_GBK" w:cs="Times New Roman"/>
              <w:sz w:val="30"/>
              <w:szCs w:val="30"/>
              <w:lang w:val="en-US" w:eastAsia="zh-CN"/>
            </w:rPr>
            <w:fldChar w:fldCharType="separate"/>
          </w:r>
          <w:r>
            <w:rPr>
              <w:rFonts w:hint="default" w:ascii="Times New Roman" w:hAnsi="Times New Roman" w:eastAsia="方正仿宋_GBK" w:cs="Times New Roman"/>
              <w:sz w:val="30"/>
              <w:szCs w:val="30"/>
              <w:lang w:val="en-US" w:eastAsia="zh-CN"/>
            </w:rPr>
            <w:t>无锡市滨湖区住房和城乡建设局涉企行政合规指导清单</w:t>
          </w:r>
          <w:r>
            <w:rPr>
              <w:rFonts w:hint="default" w:ascii="Times New Roman" w:hAnsi="Times New Roman" w:eastAsia="方正仿宋_GBK" w:cs="Times New Roman"/>
              <w:sz w:val="30"/>
              <w:szCs w:val="30"/>
            </w:rPr>
            <w:tab/>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PAGEREF _Toc12555 </w:instrText>
          </w:r>
          <w:r>
            <w:rPr>
              <w:rFonts w:hint="default" w:ascii="Times New Roman" w:hAnsi="Times New Roman" w:eastAsia="方正仿宋_GBK" w:cs="Times New Roman"/>
              <w:sz w:val="30"/>
              <w:szCs w:val="30"/>
            </w:rPr>
            <w:fldChar w:fldCharType="separate"/>
          </w:r>
          <w:r>
            <w:rPr>
              <w:rFonts w:hint="default" w:ascii="Times New Roman" w:hAnsi="Times New Roman" w:eastAsia="方正仿宋_GBK" w:cs="Times New Roman"/>
              <w:sz w:val="30"/>
              <w:szCs w:val="30"/>
            </w:rPr>
            <w:t>73</w:t>
          </w:r>
          <w:r>
            <w:rPr>
              <w:rFonts w:hint="default" w:ascii="Times New Roman" w:hAnsi="Times New Roman" w:eastAsia="方正仿宋_GBK" w:cs="Times New Roman"/>
              <w:sz w:val="30"/>
              <w:szCs w:val="30"/>
            </w:rPr>
            <w:fldChar w:fldCharType="end"/>
          </w:r>
          <w:r>
            <w:rPr>
              <w:rFonts w:hint="default" w:ascii="Times New Roman" w:hAnsi="Times New Roman" w:eastAsia="方正仿宋_GBK" w:cs="Times New Roman"/>
              <w:sz w:val="30"/>
              <w:szCs w:val="30"/>
              <w:lang w:val="en-US" w:eastAsia="zh-CN"/>
            </w:rPr>
            <w:fldChar w:fldCharType="end"/>
          </w:r>
        </w:p>
        <w:p>
          <w:pPr>
            <w:ind w:left="0" w:leftChars="0" w:right="759" w:rightChars="345" w:firstLine="805" w:firstLineChars="366"/>
            <w:jc w:val="left"/>
            <w:rPr>
              <w:rFonts w:hint="default" w:ascii="Times New Roman" w:hAnsi="Times New Roman" w:eastAsia="方正小标宋_GBK" w:cs="Times New Roman"/>
              <w:szCs w:val="48"/>
              <w:lang w:val="en-US" w:eastAsia="zh-CN"/>
            </w:rPr>
          </w:pPr>
          <w:r>
            <w:rPr>
              <w:rFonts w:hint="default" w:ascii="Times New Roman" w:hAnsi="Times New Roman" w:eastAsia="方正小标宋_GBK" w:cs="Times New Roman"/>
              <w:szCs w:val="48"/>
              <w:lang w:val="en-US" w:eastAsia="zh-CN"/>
            </w:rPr>
            <w:fldChar w:fldCharType="end"/>
          </w:r>
        </w:p>
        <w:p>
          <w:pPr>
            <w:ind w:left="0" w:leftChars="0" w:right="759" w:rightChars="345" w:firstLine="805" w:firstLineChars="366"/>
            <w:jc w:val="center"/>
            <w:rPr>
              <w:rFonts w:hint="default" w:ascii="Times New Roman" w:hAnsi="Times New Roman" w:eastAsia="方正小标宋_GBK" w:cs="Times New Roman"/>
              <w:szCs w:val="48"/>
              <w:lang w:val="en-US" w:eastAsia="zh-CN"/>
            </w:rPr>
          </w:pPr>
        </w:p>
        <w:p>
          <w:pPr>
            <w:ind w:left="0" w:leftChars="0" w:right="759" w:rightChars="345" w:firstLine="805" w:firstLineChars="366"/>
            <w:jc w:val="center"/>
            <w:rPr>
              <w:rFonts w:hint="eastAsia" w:ascii="方正小标宋_GBK" w:hAnsi="方正小标宋_GBK" w:eastAsia="方正小标宋_GBK" w:cs="方正小标宋_GBK"/>
              <w:sz w:val="48"/>
              <w:szCs w:val="48"/>
              <w:lang w:val="en-US" w:eastAsia="zh-CN"/>
            </w:rPr>
          </w:pPr>
        </w:p>
      </w:sdtContent>
    </w:sdt>
    <w:p>
      <w:pPr>
        <w:pStyle w:val="2"/>
        <w:bidi w:val="0"/>
        <w:ind w:left="0" w:leftChars="0" w:firstLine="0" w:firstLineChars="0"/>
        <w:jc w:val="center"/>
        <w:rPr>
          <w:rFonts w:hint="eastAsia" w:ascii="方正小标宋_GBK" w:hAnsi="方正小标宋_GBK" w:eastAsia="方正小标宋_GBK" w:cs="方正小标宋_GBK"/>
          <w:sz w:val="44"/>
          <w:szCs w:val="44"/>
          <w:lang w:val="en-US" w:eastAsia="zh-CN"/>
        </w:rPr>
        <w:sectPr>
          <w:footerReference r:id="rId3" w:type="default"/>
          <w:pgSz w:w="16840" w:h="11910" w:orient="landscape"/>
          <w:pgMar w:top="1100" w:right="960" w:bottom="280" w:left="1260" w:header="720" w:footer="720" w:gutter="0"/>
          <w:pgNumType w:fmt="decimal" w:start="1"/>
          <w:cols w:space="720" w:num="1"/>
        </w:sectPr>
      </w:pPr>
    </w:p>
    <w:p>
      <w:pPr>
        <w:pStyle w:val="2"/>
        <w:bidi w:val="0"/>
        <w:ind w:left="0" w:leftChars="0" w:firstLine="0" w:firstLineChars="0"/>
        <w:jc w:val="center"/>
        <w:rPr>
          <w:rFonts w:hint="eastAsia" w:ascii="楷体" w:eastAsia="楷体"/>
          <w:szCs w:val="44"/>
        </w:rPr>
      </w:pPr>
      <w:bookmarkStart w:id="0" w:name="_Toc20201"/>
      <w:r>
        <w:rPr>
          <w:rFonts w:hint="eastAsia" w:ascii="方正小标宋_GBK" w:hAnsi="方正小标宋_GBK" w:eastAsia="方正小标宋_GBK" w:cs="方正小标宋_GBK"/>
          <w:sz w:val="44"/>
          <w:szCs w:val="44"/>
          <w:lang w:val="en-US" w:eastAsia="zh-CN"/>
        </w:rPr>
        <w:t>无锡市滨湖区财政局涉企行政合规指导清单</w:t>
      </w:r>
      <w:bookmarkEnd w:id="0"/>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rPr>
      </w:pPr>
      <w:r>
        <w:rPr>
          <w:rFonts w:hint="eastAsia" w:ascii="楷体" w:eastAsia="楷体"/>
          <w:sz w:val="28"/>
          <w:szCs w:val="28"/>
        </w:rPr>
        <w:t>适用</w:t>
      </w:r>
      <w:r>
        <w:rPr>
          <w:rFonts w:hint="eastAsia" w:ascii="楷体" w:eastAsia="楷体"/>
          <w:sz w:val="28"/>
          <w:szCs w:val="28"/>
          <w:lang w:val="en-US" w:eastAsia="zh-CN"/>
        </w:rPr>
        <w:t>于</w:t>
      </w:r>
      <w:r>
        <w:rPr>
          <w:rFonts w:hint="eastAsia" w:ascii="楷体" w:eastAsia="楷体"/>
          <w:sz w:val="28"/>
          <w:szCs w:val="28"/>
        </w:rPr>
        <w:t>政府采购活动中的供应商和采购代理机构：</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tcPr>
          <w:p>
            <w:pPr>
              <w:pStyle w:val="16"/>
              <w:spacing w:before="4"/>
              <w:rPr>
                <w:rFonts w:ascii="楷体"/>
                <w:sz w:val="14"/>
              </w:rPr>
            </w:pPr>
          </w:p>
          <w:p>
            <w:pPr>
              <w:pStyle w:val="16"/>
              <w:spacing w:before="1"/>
              <w:ind w:left="104" w:right="87"/>
              <w:jc w:val="center"/>
              <w:rPr>
                <w:rFonts w:hint="eastAsia" w:ascii="黑体" w:eastAsia="黑体"/>
                <w:b/>
                <w:sz w:val="20"/>
              </w:rPr>
            </w:pPr>
            <w:r>
              <w:rPr>
                <w:rFonts w:hint="eastAsia" w:ascii="黑体" w:eastAsia="黑体"/>
                <w:b/>
                <w:sz w:val="20"/>
              </w:rPr>
              <w:t>序号</w:t>
            </w:r>
          </w:p>
        </w:tc>
        <w:tc>
          <w:tcPr>
            <w:tcW w:w="1354" w:type="dxa"/>
          </w:tcPr>
          <w:p>
            <w:pPr>
              <w:pStyle w:val="16"/>
              <w:spacing w:before="4"/>
              <w:rPr>
                <w:rFonts w:ascii="楷体"/>
                <w:sz w:val="14"/>
              </w:rPr>
            </w:pPr>
          </w:p>
          <w:p>
            <w:pPr>
              <w:pStyle w:val="16"/>
              <w:spacing w:before="1"/>
              <w:ind w:left="273"/>
              <w:rPr>
                <w:rFonts w:hint="eastAsia" w:ascii="黑体" w:eastAsia="黑体"/>
                <w:b/>
                <w:sz w:val="20"/>
              </w:rPr>
            </w:pPr>
            <w:r>
              <w:rPr>
                <w:rFonts w:hint="eastAsia" w:ascii="黑体" w:eastAsia="黑体"/>
                <w:b/>
                <w:sz w:val="20"/>
              </w:rPr>
              <w:t>合规事项</w:t>
            </w:r>
          </w:p>
        </w:tc>
        <w:tc>
          <w:tcPr>
            <w:tcW w:w="2180" w:type="dxa"/>
          </w:tcPr>
          <w:p>
            <w:pPr>
              <w:pStyle w:val="16"/>
              <w:spacing w:before="4"/>
              <w:rPr>
                <w:rFonts w:ascii="楷体"/>
                <w:sz w:val="14"/>
              </w:rPr>
            </w:pPr>
          </w:p>
          <w:p>
            <w:pPr>
              <w:pStyle w:val="16"/>
              <w:spacing w:before="1"/>
              <w:ind w:left="287"/>
              <w:rPr>
                <w:rFonts w:hint="eastAsia" w:ascii="黑体" w:eastAsia="黑体"/>
                <w:b/>
                <w:sz w:val="20"/>
              </w:rPr>
            </w:pPr>
            <w:r>
              <w:rPr>
                <w:rFonts w:hint="eastAsia" w:ascii="黑体" w:eastAsia="黑体"/>
                <w:b/>
                <w:sz w:val="20"/>
              </w:rPr>
              <w:t>常见违法行为表现</w:t>
            </w:r>
          </w:p>
        </w:tc>
        <w:tc>
          <w:tcPr>
            <w:tcW w:w="5672" w:type="dxa"/>
          </w:tcPr>
          <w:p>
            <w:pPr>
              <w:pStyle w:val="16"/>
              <w:spacing w:before="4"/>
              <w:rPr>
                <w:rFonts w:ascii="楷体"/>
                <w:sz w:val="14"/>
              </w:rPr>
            </w:pPr>
          </w:p>
          <w:p>
            <w:pPr>
              <w:pStyle w:val="16"/>
              <w:spacing w:before="1"/>
              <w:ind w:left="1908" w:right="1895"/>
              <w:jc w:val="center"/>
              <w:rPr>
                <w:rFonts w:hint="eastAsia" w:ascii="黑体" w:eastAsia="黑体"/>
                <w:b/>
                <w:sz w:val="20"/>
              </w:rPr>
            </w:pPr>
            <w:r>
              <w:rPr>
                <w:rFonts w:hint="eastAsia" w:ascii="黑体" w:eastAsia="黑体"/>
                <w:b/>
                <w:sz w:val="20"/>
              </w:rPr>
              <w:t>法律依据及违法责任</w:t>
            </w:r>
          </w:p>
        </w:tc>
        <w:tc>
          <w:tcPr>
            <w:tcW w:w="750" w:type="dxa"/>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rPr>
                <w:rFonts w:hint="eastAsia" w:ascii="黑体" w:eastAsia="黑体"/>
                <w:b/>
                <w:sz w:val="20"/>
              </w:rPr>
            </w:pPr>
            <w:r>
              <w:rPr>
                <w:rFonts w:hint="eastAsia" w:ascii="黑体" w:eastAsia="黑体"/>
                <w:b/>
                <w:w w:val="95"/>
                <w:sz w:val="20"/>
              </w:rPr>
              <w:t>等级</w:t>
            </w:r>
          </w:p>
        </w:tc>
        <w:tc>
          <w:tcPr>
            <w:tcW w:w="2631" w:type="dxa"/>
          </w:tcPr>
          <w:p>
            <w:pPr>
              <w:pStyle w:val="16"/>
              <w:spacing w:before="4"/>
              <w:rPr>
                <w:rFonts w:ascii="楷体"/>
                <w:sz w:val="14"/>
              </w:rPr>
            </w:pPr>
          </w:p>
          <w:p>
            <w:pPr>
              <w:pStyle w:val="16"/>
              <w:spacing w:before="1"/>
              <w:ind w:left="892" w:right="875"/>
              <w:jc w:val="center"/>
              <w:rPr>
                <w:rFonts w:hint="eastAsia" w:ascii="黑体" w:eastAsia="黑体"/>
                <w:b/>
                <w:sz w:val="20"/>
              </w:rPr>
            </w:pPr>
            <w:r>
              <w:rPr>
                <w:rFonts w:hint="eastAsia" w:ascii="黑体" w:eastAsia="黑体"/>
                <w:b/>
                <w:sz w:val="20"/>
              </w:rPr>
              <w:t>合规建议</w:t>
            </w:r>
          </w:p>
        </w:tc>
        <w:tc>
          <w:tcPr>
            <w:tcW w:w="1117" w:type="dxa"/>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rPr>
                <w:rFonts w:hint="eastAsia" w:ascii="黑体" w:eastAsia="黑体"/>
                <w:b/>
                <w:sz w:val="20"/>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79" w:hRule="atLeast"/>
        </w:trPr>
        <w:tc>
          <w:tcPr>
            <w:tcW w:w="653" w:type="dxa"/>
            <w:tcMar>
              <w:top w:w="57" w:type="dxa"/>
              <w:left w:w="57" w:type="dxa"/>
              <w:bottom w:w="57" w:type="dxa"/>
              <w:right w:w="57" w:type="dxa"/>
            </w:tcMar>
            <w:vAlign w:val="center"/>
          </w:tcPr>
          <w:p>
            <w:pPr>
              <w:pStyle w:val="18"/>
              <w:spacing w:line="240" w:lineRule="auto"/>
              <w:ind w:firstLine="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供应商按采购文件要求提供投标文件，并保证所提供的全部资料的真实性</w:t>
            </w:r>
          </w:p>
        </w:tc>
        <w:tc>
          <w:tcPr>
            <w:tcW w:w="2180"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提供虚假材料谋取中标、成交。</w:t>
            </w:r>
          </w:p>
        </w:tc>
        <w:tc>
          <w:tcPr>
            <w:tcW w:w="5672"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【法律】《中华人民共和国政府采购法》（2014 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第七十七条</w:t>
            </w:r>
            <w:r>
              <w:rPr>
                <w:rFonts w:hint="eastAsia" w:ascii="Times New Roman" w:hAnsi="Times New Roman" w:eastAsia="方正楷体_GBK" w:cs="Times New Roman"/>
                <w:sz w:val="16"/>
                <w:szCs w:val="16"/>
                <w:lang w:val="en-US" w:eastAsia="zh-CN"/>
              </w:rPr>
              <w:t>第一款第（一）项</w:t>
            </w:r>
            <w:r>
              <w:rPr>
                <w:rFonts w:hint="default" w:ascii="Times New Roman" w:hAnsi="Times New Roman" w:eastAsia="方正楷体_GBK" w:cs="Times New Roman"/>
                <w:sz w:val="16"/>
                <w:szCs w:val="16"/>
                <w:lang w:val="en-US" w:eastAsia="zh-CN"/>
              </w:rPr>
              <w:t xml:space="preserve">  供应商有下列情形之一的，处以采购金额千分之五以上千分之十以下的罚款，并列入不良行为记录名单，在一至三年内禁止参加政府采购活动，有违法所得的，并处没收违法所得，情节严重的，由工商行政管理机关吊销营业执照；构成犯罪的，依法追究刑事责任：</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（一）提供虚假材料谋取中标、成交的；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供应商参与政府采购活动时， 对提交的相关材料应当严格把关， 确保所提供材料的真实性。</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区财政局</w:t>
            </w:r>
          </w:p>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政府采购科81178825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tcMar>
              <w:top w:w="57" w:type="dxa"/>
              <w:left w:w="57" w:type="dxa"/>
              <w:bottom w:w="57" w:type="dxa"/>
              <w:right w:w="57" w:type="dxa"/>
            </w:tcMar>
            <w:vAlign w:val="center"/>
          </w:tcPr>
          <w:p>
            <w:pPr>
              <w:pStyle w:val="18"/>
              <w:spacing w:line="240" w:lineRule="auto"/>
              <w:ind w:firstLine="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2</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中标或者成交后按照采购文件确定的事项签订政府采购合同</w:t>
            </w:r>
          </w:p>
        </w:tc>
        <w:tc>
          <w:tcPr>
            <w:tcW w:w="2180"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中标或者成交后无正当理由拒不与采购人签订政府采购合同。</w:t>
            </w:r>
          </w:p>
        </w:tc>
        <w:tc>
          <w:tcPr>
            <w:tcW w:w="5672"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【行政法规】《中华人民共和国政府采购法实施条例》</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第七十二条</w:t>
            </w:r>
            <w:r>
              <w:rPr>
                <w:rFonts w:hint="eastAsia" w:ascii="Times New Roman" w:hAnsi="Times New Roman" w:eastAsia="方正楷体_GBK" w:cs="Times New Roman"/>
                <w:sz w:val="16"/>
                <w:szCs w:val="16"/>
                <w:lang w:val="en-US" w:eastAsia="zh-CN"/>
              </w:rPr>
              <w:t>第一款第（二）项</w:t>
            </w:r>
            <w:r>
              <w:rPr>
                <w:rFonts w:hint="default" w:ascii="Times New Roman" w:hAnsi="Times New Roman" w:eastAsia="方正楷体_GBK" w:cs="Times New Roman"/>
                <w:sz w:val="16"/>
                <w:szCs w:val="16"/>
                <w:lang w:val="en-US" w:eastAsia="zh-CN"/>
              </w:rPr>
              <w:t xml:space="preserve">  供应商有下列情形之一的，依照政府采购法第七十七条第一款的规定追究法律责任：</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（二）中标或者成交后无正当理由拒不与采购人签订政府采购合同；</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供应商在参与政府采购活动时，应当充分研究采购文件各项条款，评估参与成本和相关商业风险。中标或者成交后按照采购文件确定的事项签订政府采购合同。</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区财政局</w:t>
            </w:r>
          </w:p>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政府采购科81178825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50" w:hRule="atLeast"/>
        </w:trPr>
        <w:tc>
          <w:tcPr>
            <w:tcW w:w="653" w:type="dxa"/>
            <w:tcMar>
              <w:top w:w="57" w:type="dxa"/>
              <w:left w:w="57" w:type="dxa"/>
              <w:bottom w:w="57" w:type="dxa"/>
              <w:right w:w="57" w:type="dxa"/>
            </w:tcMar>
            <w:vAlign w:val="center"/>
          </w:tcPr>
          <w:p>
            <w:pPr>
              <w:pStyle w:val="18"/>
              <w:spacing w:line="240" w:lineRule="auto"/>
              <w:ind w:firstLine="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3</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供应商本着诚实信用、公平竞争原则参与政府采购竞争</w:t>
            </w:r>
          </w:p>
        </w:tc>
        <w:tc>
          <w:tcPr>
            <w:tcW w:w="2180"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恶意串通。</w:t>
            </w:r>
          </w:p>
        </w:tc>
        <w:tc>
          <w:tcPr>
            <w:tcW w:w="5672"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28"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【法律】《中华人民共和国政府采购法》（2014 修正）</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第七十七条</w:t>
            </w:r>
            <w:r>
              <w:rPr>
                <w:rFonts w:hint="eastAsia" w:ascii="Times New Roman" w:hAnsi="Times New Roman" w:eastAsia="方正楷体_GBK" w:cs="Times New Roman"/>
                <w:sz w:val="16"/>
                <w:szCs w:val="16"/>
                <w:lang w:val="en-US" w:eastAsia="zh-CN"/>
              </w:rPr>
              <w:t>第一款第（三）项</w:t>
            </w:r>
            <w:r>
              <w:rPr>
                <w:rFonts w:hint="default" w:ascii="Times New Roman" w:hAnsi="Times New Roman" w:eastAsia="方正楷体_GBK" w:cs="Times New Roman"/>
                <w:sz w:val="16"/>
                <w:szCs w:val="16"/>
                <w:lang w:val="en-US" w:eastAsia="zh-CN"/>
              </w:rPr>
              <w:t xml:space="preserve">  供应商有下列情形之一的，处以采购金额千分之五以上千分之十以下的罚款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并列入不良行为记录名单，在一至三年内禁止参加政府采购活动，有违法所得的，并处没收违法所得，情节严重的，由工商行政管理机关吊销营业执照。构成犯罪的，依法追究刑事责任：</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（三）与采购人、其他供应商或者采购代理机构恶意串通的；</w:t>
            </w:r>
          </w:p>
          <w:p>
            <w:pPr>
              <w:pStyle w:val="16"/>
              <w:keepNext w:val="0"/>
              <w:keepLines w:val="0"/>
              <w:pageBreakBefore w:val="0"/>
              <w:widowControl w:val="0"/>
              <w:kinsoku/>
              <w:wordWrap/>
              <w:overflowPunct/>
              <w:topLinePunct w:val="0"/>
              <w:autoSpaceDE w:val="0"/>
              <w:autoSpaceDN w:val="0"/>
              <w:bidi w:val="0"/>
              <w:adjustRightInd/>
              <w:snapToGrid/>
              <w:spacing w:line="228"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【行政法规】《中华人民共和国政府采购法实施条例》</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第七十四条  有下列情形之一的，属于恶意串通，对供应商依照政府采购法第七十七条第一款的规定追究法律责任，对采购人、采购代理机构及其工作人员依照政府采购法第七十二条的规定追究法律责任：</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（一）供应商直接或者间接从采购人或者采购代理机构处获得其他供应商的相关情况并修改其投标文件或者响应文件；</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（二）供应商按照采购人或者采购代理机构的授意撤换、修改投标文件或者响应文件；</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（三）供应商之间协商报价、技术方案等投标文件或者响应文件的实质性内容；</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（四）属于同一集团、协会、商会等组织成员的供应商按照该组织要求协同参加政府采购活动；</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（五）供应商之间事先约定由某一特定供应商中标、成交；</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（六）供应商之间商定部分供应商放弃参加政府采购活动或者放弃中标、成交；</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（七）供应商与采购人或者采购代理机构之间、供应商相互之间，为谋求</w:t>
            </w:r>
          </w:p>
          <w:p>
            <w:pPr>
              <w:pStyle w:val="16"/>
              <w:keepNext w:val="0"/>
              <w:keepLines w:val="0"/>
              <w:pageBreakBefore w:val="0"/>
              <w:widowControl w:val="0"/>
              <w:kinsoku/>
              <w:wordWrap/>
              <w:overflowPunct/>
              <w:topLinePunct w:val="0"/>
              <w:autoSpaceDE w:val="0"/>
              <w:autoSpaceDN w:val="0"/>
              <w:bidi w:val="0"/>
              <w:adjustRightInd/>
              <w:snapToGrid/>
              <w:spacing w:line="228"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特定供应商中标、成交或者排斥其他供应商的其他串通行为。</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供应商应当本着诚实信用、公平竞争原则参与政府采购竞争，防止出现《中华人民共和国</w:t>
            </w:r>
            <w:r>
              <w:rPr>
                <w:rFonts w:hint="eastAsia" w:ascii="Times New Roman" w:hAnsi="Times New Roman" w:eastAsia="方正楷体_GBK" w:cs="Times New Roman"/>
                <w:sz w:val="16"/>
                <w:szCs w:val="16"/>
                <w:lang w:val="en-US" w:eastAsia="zh-CN"/>
              </w:rPr>
              <w:t>政府</w:t>
            </w:r>
            <w:bookmarkStart w:id="16" w:name="_GoBack"/>
            <w:bookmarkEnd w:id="16"/>
            <w:r>
              <w:rPr>
                <w:rFonts w:hint="default" w:ascii="Times New Roman" w:hAnsi="Times New Roman" w:eastAsia="方正楷体_GBK" w:cs="Times New Roman"/>
                <w:sz w:val="16"/>
                <w:szCs w:val="16"/>
                <w:lang w:val="en-US" w:eastAsia="zh-CN"/>
              </w:rPr>
              <w:t>采购法实施条例》第七十四条有关情形。</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区财政局</w:t>
            </w:r>
          </w:p>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政府采购科81178825</w:t>
            </w:r>
          </w:p>
        </w:tc>
      </w:tr>
    </w:tbl>
    <w:p>
      <w:pPr>
        <w:pStyle w:val="16"/>
        <w:spacing w:before="4"/>
        <w:rPr>
          <w:rFonts w:ascii="楷体"/>
          <w:sz w:val="14"/>
        </w:rPr>
      </w:pPr>
      <w:r>
        <w:rPr>
          <w:rFonts w:ascii="楷体"/>
          <w:sz w:val="14"/>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7"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zh-CN"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default"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default"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zh-CN"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80" w:hRule="atLeast"/>
        </w:trPr>
        <w:tc>
          <w:tcPr>
            <w:tcW w:w="653" w:type="dxa"/>
            <w:vAlign w:val="center"/>
          </w:tcPr>
          <w:p>
            <w:pPr>
              <w:pStyle w:val="16"/>
              <w:ind w:left="18"/>
              <w:jc w:val="center"/>
              <w:rPr>
                <w:rFonts w:hint="eastAsia" w:ascii="方正楷体_GBK" w:hAnsi="方正楷体_GBK" w:eastAsia="方正楷体_GBK" w:cs="方正楷体_GBK"/>
                <w:w w:val="100"/>
                <w:sz w:val="16"/>
                <w:lang w:val="en-US" w:eastAsia="zh-CN"/>
              </w:rPr>
            </w:pPr>
            <w:r>
              <w:rPr>
                <w:rFonts w:hint="default" w:ascii="Times New Roman" w:hAnsi="Times New Roman" w:eastAsia="方正楷体_GBK" w:cs="Times New Roman"/>
                <w:w w:val="100"/>
                <w:sz w:val="16"/>
                <w:szCs w:val="16"/>
                <w:lang w:val="en-US" w:eastAsia="zh-CN"/>
              </w:rPr>
              <w:t>4</w:t>
            </w:r>
          </w:p>
        </w:tc>
        <w:tc>
          <w:tcPr>
            <w:tcW w:w="1354" w:type="dxa"/>
            <w:tcMar>
              <w:top w:w="57" w:type="dxa"/>
              <w:left w:w="57" w:type="dxa"/>
              <w:bottom w:w="57" w:type="dxa"/>
              <w:right w:w="57" w:type="dxa"/>
            </w:tcMar>
            <w:vAlign w:val="center"/>
          </w:tcPr>
          <w:p>
            <w:pPr>
              <w:pStyle w:val="16"/>
              <w:bidi w:val="0"/>
              <w:jc w:val="both"/>
              <w:rPr>
                <w:rFonts w:hint="eastAsia" w:ascii="方正楷体_GBK" w:hAnsi="方正楷体_GBK" w:eastAsia="方正楷体_GBK" w:cs="方正楷体_GBK"/>
              </w:rPr>
            </w:pPr>
            <w:r>
              <w:rPr>
                <w:rFonts w:hint="default" w:ascii="Times New Roman" w:hAnsi="Times New Roman" w:eastAsia="方正楷体_GBK" w:cs="Times New Roman"/>
                <w:sz w:val="16"/>
                <w:szCs w:val="16"/>
                <w:lang w:val="en-US" w:eastAsia="zh-CN"/>
              </w:rPr>
              <w:t>在监督检查和行政裁决中提供真实资料、不恶意投诉</w:t>
            </w:r>
          </w:p>
        </w:tc>
        <w:tc>
          <w:tcPr>
            <w:tcW w:w="2180" w:type="dxa"/>
            <w:tcMar>
              <w:top w:w="57" w:type="dxa"/>
              <w:left w:w="57" w:type="dxa"/>
              <w:bottom w:w="57" w:type="dxa"/>
              <w:right w:w="57" w:type="dxa"/>
            </w:tcMar>
            <w:vAlign w:val="center"/>
          </w:tcPr>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1.拒绝有关部门监督检查或提供虚假情况</w:t>
            </w:r>
            <w:r>
              <w:rPr>
                <w:rFonts w:hint="eastAsia" w:ascii="Times New Roman" w:hAnsi="Times New Roman" w:eastAsia="方正楷体_GBK" w:cs="Times New Roman"/>
                <w:lang w:val="en-US" w:eastAsia="zh-CN"/>
              </w:rPr>
              <w:t>；</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2.捏造事实、提供虚假材料或者以非法手段取得证明材料进行投诉</w:t>
            </w:r>
            <w:r>
              <w:rPr>
                <w:rFonts w:hint="eastAsia" w:ascii="Times New Roman" w:hAnsi="Times New Roman" w:eastAsia="方正楷体_GBK" w:cs="Times New Roman"/>
                <w:lang w:val="en-US" w:eastAsia="zh-CN"/>
              </w:rPr>
              <w:t>；</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eastAsia" w:ascii="方正楷体_GBK" w:hAnsi="方正楷体_GBK" w:eastAsia="方正楷体_GBK" w:cs="方正楷体_GBK"/>
                <w:sz w:val="16"/>
                <w:lang w:eastAsia="zh-CN"/>
              </w:rPr>
            </w:pPr>
            <w:r>
              <w:rPr>
                <w:rFonts w:hint="default" w:ascii="Times New Roman" w:hAnsi="Times New Roman" w:eastAsia="方正楷体_GBK" w:cs="Times New Roman"/>
                <w:lang w:val="en-US" w:eastAsia="zh-CN"/>
              </w:rPr>
              <w:t>3.在全国范围12个月内三次以上投诉查无实据</w:t>
            </w:r>
            <w:r>
              <w:rPr>
                <w:rFonts w:hint="default" w:ascii="Times New Roman" w:hAnsi="Times New Roman" w:eastAsia="方正楷体_GBK" w:cs="Times New Roman"/>
                <w:sz w:val="16"/>
                <w:szCs w:val="16"/>
                <w:lang w:val="en-US" w:eastAsia="zh-CN" w:bidi="zh-CN"/>
              </w:rPr>
              <w:t>。</w:t>
            </w:r>
          </w:p>
        </w:tc>
        <w:tc>
          <w:tcPr>
            <w:tcW w:w="5672" w:type="dxa"/>
            <w:tcMar>
              <w:top w:w="57" w:type="dxa"/>
              <w:left w:w="57" w:type="dxa"/>
              <w:bottom w:w="57" w:type="dxa"/>
              <w:right w:w="57" w:type="dxa"/>
            </w:tcMar>
            <w:vAlign w:val="center"/>
          </w:tcPr>
          <w:p>
            <w:pPr>
              <w:pStyle w:val="18"/>
              <w:keepNext w:val="0"/>
              <w:keepLines w:val="0"/>
              <w:pageBreakBefore w:val="0"/>
              <w:widowControl w:val="0"/>
              <w:kinsoku/>
              <w:wordWrap/>
              <w:overflowPunct/>
              <w:topLinePunct w:val="0"/>
              <w:autoSpaceDE w:val="0"/>
              <w:autoSpaceDN w:val="0"/>
              <w:bidi w:val="0"/>
              <w:adjustRightInd/>
              <w:snapToGrid/>
              <w:spacing w:line="240" w:lineRule="auto"/>
              <w:ind w:firstLine="0"/>
              <w:jc w:val="both"/>
              <w:textAlignment w:val="auto"/>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lang w:val="en-US" w:eastAsia="zh-CN"/>
              </w:rPr>
              <w:t>【法律】《中华人民共和国政府采购法》（</w:t>
            </w:r>
            <w:r>
              <w:rPr>
                <w:rFonts w:hint="default" w:ascii="Times New Roman" w:hAnsi="Times New Roman" w:eastAsia="方正楷体_GBK" w:cs="Times New Roman"/>
                <w:lang w:val="en-US" w:eastAsia="zh-CN"/>
              </w:rPr>
              <w:t xml:space="preserve">2014 </w:t>
            </w:r>
            <w:r>
              <w:rPr>
                <w:rFonts w:hint="eastAsia" w:ascii="方正楷体_GBK" w:hAnsi="方正楷体_GBK" w:eastAsia="方正楷体_GBK" w:cs="方正楷体_GBK"/>
                <w:lang w:val="en-US" w:eastAsia="zh-CN"/>
              </w:rPr>
              <w:t>修正）</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eastAsia" w:ascii="方正楷体_GBK" w:hAnsi="方正楷体_GBK" w:eastAsia="方正楷体_GBK" w:cs="方正楷体_GBK"/>
                <w:sz w:val="16"/>
                <w:lang w:val="en-US" w:eastAsia="zh-CN"/>
              </w:rPr>
            </w:pPr>
            <w:r>
              <w:rPr>
                <w:rFonts w:hint="eastAsia" w:ascii="方正楷体_GBK" w:hAnsi="方正楷体_GBK" w:eastAsia="方正楷体_GBK" w:cs="方正楷体_GBK"/>
                <w:lang w:val="en-US" w:eastAsia="zh-CN"/>
              </w:rPr>
              <w:t>第七十七条第一款第（六）项  供应商有下列情形之一的，处以采购金额千分之五以上千分之</w:t>
            </w:r>
            <w:r>
              <w:rPr>
                <w:rFonts w:hint="eastAsia" w:ascii="方正楷体_GBK" w:hAnsi="方正楷体_GBK" w:eastAsia="方正楷体_GBK" w:cs="方正楷体_GBK"/>
                <w:sz w:val="16"/>
                <w:lang w:val="en-US" w:eastAsia="zh-CN"/>
              </w:rPr>
              <w:t>十以下的罚款，列入不良行为记录名单，在一至三年内禁止参加政府采购活动，有违法所得的，并处没收违法所得，情节严重的，由工商行政管理机关吊销营业执照；构成犯罪的，依法追究刑事责任：</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eastAsia" w:ascii="方正楷体_GBK" w:hAnsi="方正楷体_GBK" w:eastAsia="方正楷体_GBK" w:cs="方正楷体_GBK"/>
                <w:sz w:val="16"/>
                <w:lang w:val="en-US" w:eastAsia="zh-CN"/>
              </w:rPr>
            </w:pPr>
            <w:r>
              <w:rPr>
                <w:rFonts w:hint="eastAsia" w:ascii="方正楷体_GBK" w:hAnsi="方正楷体_GBK" w:eastAsia="方正楷体_GBK" w:cs="方正楷体_GBK"/>
                <w:sz w:val="16"/>
                <w:lang w:val="en-US" w:eastAsia="zh-CN"/>
              </w:rPr>
              <w:t>（六）拒绝有关部门监督检查或者提供虚假情况的。</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0"/>
              <w:jc w:val="both"/>
              <w:textAlignment w:val="auto"/>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sz w:val="16"/>
                <w:lang w:val="en-US" w:eastAsia="zh-CN"/>
              </w:rPr>
              <w:t>【行政法规】《中华人民共和国政府采购法</w:t>
            </w:r>
            <w:r>
              <w:rPr>
                <w:rFonts w:hint="eastAsia" w:ascii="方正楷体_GBK" w:hAnsi="方正楷体_GBK" w:eastAsia="方正楷体_GBK" w:cs="方正楷体_GBK"/>
                <w:lang w:val="en-US" w:eastAsia="zh-CN"/>
              </w:rPr>
              <w:t>实施条例》</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lang w:val="en-US" w:eastAsia="zh-CN"/>
              </w:rPr>
              <w:t>第五十七条  投诉人捏造事实、提供虚假材料或者以非法手段取得证明材料进行投诉的，财政部门应当予以驳回。</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lang w:val="en-US" w:eastAsia="zh-CN"/>
              </w:rPr>
              <w:t>财政部门受理投诉后，投诉人书面申请撤回投诉的，财政部门应当终止投诉处理程序。</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lang w:val="en-US" w:eastAsia="zh-CN"/>
              </w:rPr>
              <w:t>第七十三条  供应商捏造事实、提供虚假材料或者以非法手段取得证明材料进行投诉的，由财政部门列入不良行为记录名单，禁止</w:t>
            </w:r>
            <w:r>
              <w:rPr>
                <w:rFonts w:hint="default" w:ascii="Times New Roman" w:hAnsi="Times New Roman" w:eastAsia="方正楷体_GBK" w:cs="Times New Roman"/>
                <w:lang w:val="en-US" w:eastAsia="zh-CN"/>
              </w:rPr>
              <w:t>其1至3年</w:t>
            </w:r>
            <w:r>
              <w:rPr>
                <w:rFonts w:hint="eastAsia" w:ascii="方正楷体_GBK" w:hAnsi="方正楷体_GBK" w:eastAsia="方正楷体_GBK" w:cs="方正楷体_GBK"/>
                <w:lang w:val="en-US" w:eastAsia="zh-CN"/>
              </w:rPr>
              <w:t>内参加政府采购活动。</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0"/>
              <w:jc w:val="both"/>
              <w:textAlignment w:val="auto"/>
              <w:rPr>
                <w:rFonts w:hint="eastAsia" w:ascii="方正楷体_GBK" w:hAnsi="方正楷体_GBK" w:eastAsia="方正楷体_GBK" w:cs="方正楷体_GBK"/>
                <w:lang w:val="en-US" w:eastAsia="zh-CN"/>
              </w:rPr>
            </w:pPr>
            <w:r>
              <w:rPr>
                <w:rFonts w:hint="eastAsia" w:ascii="方正楷体_GBK" w:hAnsi="方正楷体_GBK" w:eastAsia="方正楷体_GBK" w:cs="方正楷体_GBK"/>
                <w:lang w:val="en-US" w:eastAsia="zh-CN"/>
              </w:rPr>
              <w:t>【部门规章】《政府采购质疑和投诉办法》</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方正楷体_GBK" w:hAnsi="方正楷体_GBK" w:eastAsia="方正楷体_GBK" w:cs="方正楷体_GBK"/>
                <w:lang w:val="en-US" w:eastAsia="zh-CN"/>
              </w:rPr>
            </w:pPr>
            <w:r>
              <w:rPr>
                <w:rFonts w:hint="default" w:ascii="方正楷体_GBK" w:hAnsi="方正楷体_GBK" w:eastAsia="方正楷体_GBK" w:cs="方正楷体_GBK"/>
                <w:lang w:val="en-US" w:eastAsia="zh-CN"/>
              </w:rPr>
              <w:t>第二十九条</w:t>
            </w:r>
            <w:r>
              <w:rPr>
                <w:rFonts w:hint="eastAsia" w:ascii="方正楷体_GBK" w:hAnsi="方正楷体_GBK" w:eastAsia="方正楷体_GBK" w:cs="方正楷体_GBK"/>
                <w:lang w:val="en-US" w:eastAsia="zh-CN"/>
              </w:rPr>
              <w:t xml:space="preserve"> </w:t>
            </w:r>
            <w:r>
              <w:rPr>
                <w:rFonts w:hint="default" w:ascii="方正楷体_GBK" w:hAnsi="方正楷体_GBK" w:eastAsia="方正楷体_GBK" w:cs="方正楷体_GBK"/>
                <w:lang w:val="en-US" w:eastAsia="zh-CN"/>
              </w:rPr>
              <w:t xml:space="preserve"> 投诉处理过程中，有下列情形之一的，财政部门应当驳回投诉</w:t>
            </w:r>
            <w:r>
              <w:rPr>
                <w:rFonts w:hint="eastAsia" w:ascii="方正楷体_GBK" w:hAnsi="方正楷体_GBK" w:eastAsia="方正楷体_GBK" w:cs="方正楷体_GBK"/>
                <w:lang w:val="en-US" w:eastAsia="zh-CN"/>
              </w:rPr>
              <w:t>：</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方正楷体_GBK" w:hAnsi="方正楷体_GBK" w:eastAsia="方正楷体_GBK" w:cs="方正楷体_GBK"/>
                <w:lang w:val="en-US" w:eastAsia="zh-CN"/>
              </w:rPr>
            </w:pPr>
            <w:r>
              <w:rPr>
                <w:rFonts w:hint="default" w:ascii="方正楷体_GBK" w:hAnsi="方正楷体_GBK" w:eastAsia="方正楷体_GBK" w:cs="方正楷体_GBK"/>
                <w:lang w:val="en-US" w:eastAsia="zh-CN"/>
              </w:rPr>
              <w:t>（一）受理后发现投诉不符合法定受理条件</w:t>
            </w:r>
            <w:r>
              <w:rPr>
                <w:rFonts w:hint="eastAsia" w:ascii="方正楷体_GBK" w:hAnsi="方正楷体_GBK" w:eastAsia="方正楷体_GBK" w:cs="方正楷体_GBK"/>
                <w:lang w:val="en-US" w:eastAsia="zh-CN"/>
              </w:rPr>
              <w:t>；</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方正楷体_GBK" w:hAnsi="方正楷体_GBK" w:eastAsia="方正楷体_GBK" w:cs="方正楷体_GBK"/>
                <w:lang w:val="en-US" w:eastAsia="zh-CN"/>
              </w:rPr>
            </w:pPr>
            <w:r>
              <w:rPr>
                <w:rFonts w:hint="default" w:ascii="方正楷体_GBK" w:hAnsi="方正楷体_GBK" w:eastAsia="方正楷体_GBK" w:cs="方正楷体_GBK"/>
                <w:lang w:val="en-US" w:eastAsia="zh-CN"/>
              </w:rPr>
              <w:t>（二）投诉事项缺乏事实依据，投诉事项不成立</w:t>
            </w:r>
            <w:r>
              <w:rPr>
                <w:rFonts w:hint="eastAsia" w:ascii="方正楷体_GBK" w:hAnsi="方正楷体_GBK" w:eastAsia="方正楷体_GBK" w:cs="方正楷体_GBK"/>
                <w:lang w:val="en-US" w:eastAsia="zh-CN"/>
              </w:rPr>
              <w:t>；</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方正楷体_GBK" w:hAnsi="方正楷体_GBK" w:eastAsia="方正楷体_GBK" w:cs="方正楷体_GBK"/>
                <w:lang w:val="en-US" w:eastAsia="zh-CN"/>
              </w:rPr>
            </w:pPr>
            <w:r>
              <w:rPr>
                <w:rFonts w:hint="default" w:ascii="方正楷体_GBK" w:hAnsi="方正楷体_GBK" w:eastAsia="方正楷体_GBK" w:cs="方正楷体_GBK"/>
                <w:lang w:val="en-US" w:eastAsia="zh-CN"/>
              </w:rPr>
              <w:t>（三）投诉人捏造事实或者提供虚假材料</w:t>
            </w:r>
            <w:r>
              <w:rPr>
                <w:rFonts w:hint="eastAsia" w:ascii="方正楷体_GBK" w:hAnsi="方正楷体_GBK" w:eastAsia="方正楷体_GBK" w:cs="方正楷体_GBK"/>
                <w:lang w:val="en-US" w:eastAsia="zh-CN"/>
              </w:rPr>
              <w:t>；</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方正楷体_GBK" w:hAnsi="方正楷体_GBK" w:eastAsia="方正楷体_GBK" w:cs="方正楷体_GBK"/>
                <w:lang w:val="en-US" w:eastAsia="zh-CN"/>
              </w:rPr>
            </w:pPr>
            <w:r>
              <w:rPr>
                <w:rFonts w:hint="default" w:ascii="方正楷体_GBK" w:hAnsi="方正楷体_GBK" w:eastAsia="方正楷体_GBK" w:cs="方正楷体_GBK"/>
                <w:lang w:val="en-US" w:eastAsia="zh-CN"/>
              </w:rPr>
              <w:t>（四）投诉人以非法手段取得证明材料。证据来源的合法性存在明显疑问，投诉人无法证明其取得方式合法的，视为以非法手段取得证明材料。</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lang w:val="en-US" w:eastAsia="zh-CN"/>
              </w:rPr>
            </w:pPr>
            <w:r>
              <w:rPr>
                <w:rFonts w:hint="default" w:ascii="方正楷体_GBK" w:hAnsi="方正楷体_GBK" w:eastAsia="方正楷体_GBK" w:cs="方正楷体_GBK"/>
                <w:lang w:val="en-US" w:eastAsia="zh-CN"/>
              </w:rPr>
              <w:t>第三十七条</w:t>
            </w:r>
            <w:r>
              <w:rPr>
                <w:rFonts w:hint="eastAsia" w:ascii="方正楷体_GBK" w:hAnsi="方正楷体_GBK" w:eastAsia="方正楷体_GBK" w:cs="方正楷体_GBK"/>
                <w:lang w:val="en-US" w:eastAsia="zh-CN"/>
              </w:rPr>
              <w:t xml:space="preserve"> </w:t>
            </w:r>
            <w:r>
              <w:rPr>
                <w:rFonts w:hint="default" w:ascii="方正楷体_GBK" w:hAnsi="方正楷体_GBK" w:eastAsia="方正楷体_GBK" w:cs="方正楷体_GBK"/>
                <w:lang w:val="en-US" w:eastAsia="zh-CN"/>
              </w:rPr>
              <w:t xml:space="preserve"> 投诉人在</w:t>
            </w:r>
            <w:r>
              <w:rPr>
                <w:rFonts w:hint="default" w:ascii="Times New Roman" w:hAnsi="Times New Roman" w:eastAsia="方正楷体_GBK" w:cs="Times New Roman"/>
                <w:lang w:val="en-US" w:eastAsia="zh-CN"/>
              </w:rPr>
              <w:t>全国范围12个月内三次以上投诉查无实据的，由财政部门列入不良行为记录名单。投诉人有下列行为之一的，属于虚假、恶意投诉，由财政部门列入不良行为记录名单，禁止其1至3年内参加政府采购活动：</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（一）捏造事实；</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方正楷体_GBK" w:hAnsi="方正楷体_GBK" w:eastAsia="方正楷体_GBK" w:cs="方正楷体_GBK"/>
                <w:lang w:val="en-US" w:eastAsia="zh-CN"/>
              </w:rPr>
            </w:pPr>
            <w:r>
              <w:rPr>
                <w:rFonts w:hint="default" w:ascii="方正楷体_GBK" w:hAnsi="方正楷体_GBK" w:eastAsia="方正楷体_GBK" w:cs="方正楷体_GBK"/>
                <w:lang w:val="en-US" w:eastAsia="zh-CN"/>
              </w:rPr>
              <w:t>（二）提供虚假材料</w:t>
            </w:r>
            <w:r>
              <w:rPr>
                <w:rFonts w:hint="eastAsia" w:ascii="方正楷体_GBK" w:hAnsi="方正楷体_GBK" w:eastAsia="方正楷体_GBK" w:cs="方正楷体_GBK"/>
                <w:lang w:val="en-US" w:eastAsia="zh-CN"/>
              </w:rPr>
              <w:t>；</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方正楷体_GBK" w:hAnsi="方正楷体_GBK" w:eastAsia="方正楷体_GBK" w:cs="方正楷体_GBK"/>
                <w:spacing w:val="-5"/>
                <w:sz w:val="16"/>
                <w:lang w:val="en-US" w:eastAsia="zh-CN"/>
              </w:rPr>
            </w:pPr>
            <w:r>
              <w:rPr>
                <w:rFonts w:hint="default" w:ascii="方正楷体_GBK" w:hAnsi="方正楷体_GBK" w:eastAsia="方正楷体_GBK" w:cs="方正楷体_GBK"/>
                <w:lang w:val="en-US" w:eastAsia="zh-CN"/>
              </w:rPr>
              <w:t>（三）以非法手段取得证明材料。证据来源的合法性存在明显疑问，投诉人无法证明其取得方式合法的，视为以非法手段取得证明材料。</w:t>
            </w:r>
          </w:p>
        </w:tc>
        <w:tc>
          <w:tcPr>
            <w:tcW w:w="750" w:type="dxa"/>
            <w:tcMar>
              <w:top w:w="57" w:type="dxa"/>
              <w:left w:w="57" w:type="dxa"/>
              <w:bottom w:w="57" w:type="dxa"/>
              <w:right w:w="57" w:type="dxa"/>
            </w:tcMar>
            <w:vAlign w:val="center"/>
          </w:tcPr>
          <w:p>
            <w:pPr>
              <w:pStyle w:val="16"/>
              <w:spacing w:line="240" w:lineRule="auto"/>
              <w:jc w:val="center"/>
              <w:rPr>
                <w:rFonts w:hint="eastAsia" w:ascii="方正楷体_GBK" w:hAnsi="方正楷体_GBK" w:eastAsia="方正楷体_GBK" w:cs="方正楷体_GBK"/>
                <w:sz w:val="16"/>
              </w:rPr>
            </w:pPr>
            <w:r>
              <w:rPr>
                <w:rFonts w:hint="default" w:ascii="Times New Roman" w:hAnsi="Times New Roman" w:cs="Times New Roman" w:eastAsiaTheme="minorEastAsia"/>
                <w:sz w:val="16"/>
              </w:rPr>
              <w:t>★★★</w:t>
            </w:r>
          </w:p>
        </w:tc>
        <w:tc>
          <w:tcPr>
            <w:tcW w:w="2631" w:type="dxa"/>
            <w:tcMar>
              <w:top w:w="57" w:type="dxa"/>
              <w:left w:w="57" w:type="dxa"/>
              <w:bottom w:w="57" w:type="dxa"/>
              <w:right w:w="57" w:type="dxa"/>
            </w:tcMar>
            <w:vAlign w:val="center"/>
          </w:tcPr>
          <w:p>
            <w:pPr>
              <w:pStyle w:val="18"/>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方正楷体_GBK" w:hAnsi="方正楷体_GBK" w:eastAsia="方正楷体_GBK" w:cs="方正楷体_GBK"/>
                <w:sz w:val="16"/>
                <w:lang w:val="en-US" w:eastAsia="zh-CN"/>
              </w:rPr>
            </w:pPr>
            <w:r>
              <w:rPr>
                <w:rFonts w:hint="eastAsia" w:ascii="方正楷体_GBK" w:hAnsi="方正楷体_GBK" w:eastAsia="方正楷体_GBK" w:cs="方正楷体_GBK"/>
                <w:sz w:val="16"/>
                <w:lang w:val="en-US" w:eastAsia="zh-CN"/>
              </w:rPr>
              <w:t>供应商应当自觉接受有关部门监督检查，提供真实材料，不恶意投诉。</w:t>
            </w:r>
          </w:p>
        </w:tc>
        <w:tc>
          <w:tcPr>
            <w:tcW w:w="1117" w:type="dxa"/>
            <w:tcMar>
              <w:top w:w="57" w:type="dxa"/>
              <w:left w:w="57" w:type="dxa"/>
              <w:bottom w:w="57" w:type="dxa"/>
              <w:right w:w="57" w:type="dxa"/>
            </w:tcMar>
            <w:vAlign w:val="center"/>
          </w:tcPr>
          <w:p>
            <w:pPr>
              <w:pStyle w:val="18"/>
              <w:keepNext w:val="0"/>
              <w:keepLines w:val="0"/>
              <w:pageBreakBefore w:val="0"/>
              <w:widowControl w:val="0"/>
              <w:kinsoku/>
              <w:wordWrap/>
              <w:overflowPunct/>
              <w:topLinePunct w:val="0"/>
              <w:autoSpaceDE w:val="0"/>
              <w:autoSpaceDN w:val="0"/>
              <w:bidi w:val="0"/>
              <w:adjustRightInd/>
              <w:snapToGrid/>
              <w:spacing w:line="240" w:lineRule="auto"/>
              <w:ind w:firstLine="0"/>
              <w:jc w:val="center"/>
              <w:textAlignment w:val="auto"/>
              <w:rPr>
                <w:rFonts w:hint="eastAsia" w:ascii="方正楷体_GBK" w:hAnsi="方正楷体_GBK" w:eastAsia="方正楷体_GBK" w:cs="方正楷体_GBK"/>
                <w:sz w:val="16"/>
                <w:lang w:val="en-US" w:eastAsia="zh-CN"/>
              </w:rPr>
            </w:pPr>
            <w:r>
              <w:rPr>
                <w:rFonts w:hint="eastAsia" w:ascii="方正楷体_GBK" w:hAnsi="方正楷体_GBK" w:eastAsia="方正楷体_GBK" w:cs="方正楷体_GBK"/>
                <w:sz w:val="16"/>
                <w:lang w:val="en-US" w:eastAsia="zh-CN"/>
              </w:rPr>
              <w:t>区财政局</w:t>
            </w:r>
          </w:p>
          <w:p>
            <w:pPr>
              <w:pStyle w:val="18"/>
              <w:keepNext w:val="0"/>
              <w:keepLines w:val="0"/>
              <w:pageBreakBefore w:val="0"/>
              <w:widowControl w:val="0"/>
              <w:kinsoku/>
              <w:wordWrap/>
              <w:overflowPunct/>
              <w:topLinePunct w:val="0"/>
              <w:autoSpaceDE w:val="0"/>
              <w:autoSpaceDN w:val="0"/>
              <w:bidi w:val="0"/>
              <w:adjustRightInd/>
              <w:snapToGrid/>
              <w:spacing w:line="240" w:lineRule="auto"/>
              <w:ind w:firstLine="0"/>
              <w:jc w:val="center"/>
              <w:textAlignment w:val="auto"/>
              <w:rPr>
                <w:rFonts w:hint="eastAsia" w:ascii="方正楷体_GBK" w:hAnsi="方正楷体_GBK" w:eastAsia="方正楷体_GBK" w:cs="方正楷体_GBK"/>
                <w:sz w:val="16"/>
                <w:lang w:val="en-US" w:eastAsia="zh-CN"/>
              </w:rPr>
            </w:pPr>
            <w:r>
              <w:rPr>
                <w:rFonts w:hint="eastAsia" w:ascii="方正楷体_GBK" w:hAnsi="方正楷体_GBK" w:eastAsia="方正楷体_GBK" w:cs="方正楷体_GBK"/>
                <w:sz w:val="16"/>
                <w:lang w:val="en-US" w:eastAsia="zh-CN"/>
              </w:rPr>
              <w:t>政府采购科</w:t>
            </w:r>
            <w:r>
              <w:rPr>
                <w:rFonts w:hint="default" w:ascii="Times New Roman" w:hAnsi="Times New Roman" w:eastAsia="方正楷体_GBK" w:cs="Times New Roman"/>
                <w:sz w:val="16"/>
                <w:lang w:val="en-US" w:eastAsia="zh-CN"/>
              </w:rPr>
              <w:t>81178825</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r>
        <w:br w:type="page"/>
      </w:r>
    </w:p>
    <w:p>
      <w:pPr>
        <w:pStyle w:val="2"/>
        <w:bidi w:val="0"/>
        <w:ind w:left="0" w:leftChars="0" w:firstLine="0" w:firstLineChars="0"/>
        <w:jc w:val="center"/>
        <w:rPr>
          <w:rFonts w:hint="eastAsia" w:ascii="方正小标宋_GBK" w:hAnsi="方正小标宋_GBK" w:eastAsia="方正小标宋_GBK" w:cs="方正小标宋_GBK"/>
          <w:szCs w:val="44"/>
          <w:lang w:val="en-US" w:eastAsia="zh-CN"/>
        </w:rPr>
      </w:pPr>
      <w:bookmarkStart w:id="1" w:name="_Toc19337"/>
      <w:r>
        <w:rPr>
          <w:rFonts w:hint="eastAsia" w:ascii="方正小标宋_GBK" w:hAnsi="方正小标宋_GBK" w:eastAsia="方正小标宋_GBK" w:cs="方正小标宋_GBK"/>
          <w:sz w:val="44"/>
          <w:szCs w:val="44"/>
          <w:lang w:val="en-US" w:eastAsia="zh-CN"/>
        </w:rPr>
        <w:t>无锡市滨湖区城市管理局涉企行政合规指导清单</w:t>
      </w:r>
      <w:bookmarkEnd w:id="1"/>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适用于沿街商业经营者：</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tcPr>
          <w:p>
            <w:pPr>
              <w:pStyle w:val="16"/>
              <w:spacing w:before="4"/>
              <w:rPr>
                <w:rFonts w:ascii="楷体"/>
                <w:sz w:val="14"/>
              </w:rPr>
            </w:pPr>
          </w:p>
          <w:p>
            <w:pPr>
              <w:pStyle w:val="16"/>
              <w:spacing w:before="1"/>
              <w:ind w:left="104" w:right="87"/>
              <w:jc w:val="center"/>
              <w:rPr>
                <w:rFonts w:hint="eastAsia" w:ascii="黑体" w:eastAsia="黑体"/>
                <w:b/>
                <w:sz w:val="20"/>
              </w:rPr>
            </w:pPr>
            <w:r>
              <w:rPr>
                <w:rFonts w:hint="eastAsia" w:ascii="黑体" w:eastAsia="黑体"/>
                <w:b/>
                <w:sz w:val="20"/>
              </w:rPr>
              <w:t>序号</w:t>
            </w:r>
          </w:p>
        </w:tc>
        <w:tc>
          <w:tcPr>
            <w:tcW w:w="1354" w:type="dxa"/>
          </w:tcPr>
          <w:p>
            <w:pPr>
              <w:pStyle w:val="16"/>
              <w:spacing w:before="4"/>
              <w:rPr>
                <w:rFonts w:ascii="楷体"/>
                <w:sz w:val="14"/>
              </w:rPr>
            </w:pPr>
          </w:p>
          <w:p>
            <w:pPr>
              <w:pStyle w:val="16"/>
              <w:spacing w:before="1"/>
              <w:ind w:left="273"/>
              <w:rPr>
                <w:rFonts w:hint="eastAsia" w:ascii="黑体" w:eastAsia="黑体"/>
                <w:b/>
                <w:sz w:val="20"/>
              </w:rPr>
            </w:pPr>
            <w:r>
              <w:rPr>
                <w:rFonts w:hint="eastAsia" w:ascii="黑体" w:eastAsia="黑体"/>
                <w:b/>
                <w:sz w:val="20"/>
              </w:rPr>
              <w:t>合规事项</w:t>
            </w:r>
          </w:p>
        </w:tc>
        <w:tc>
          <w:tcPr>
            <w:tcW w:w="2180" w:type="dxa"/>
          </w:tcPr>
          <w:p>
            <w:pPr>
              <w:pStyle w:val="16"/>
              <w:spacing w:before="4"/>
              <w:rPr>
                <w:rFonts w:ascii="楷体"/>
                <w:sz w:val="14"/>
              </w:rPr>
            </w:pPr>
          </w:p>
          <w:p>
            <w:pPr>
              <w:pStyle w:val="16"/>
              <w:spacing w:before="1"/>
              <w:ind w:left="287"/>
              <w:rPr>
                <w:rFonts w:hint="eastAsia" w:ascii="黑体" w:eastAsia="黑体"/>
                <w:b/>
                <w:sz w:val="20"/>
              </w:rPr>
            </w:pPr>
            <w:r>
              <w:rPr>
                <w:rFonts w:hint="eastAsia" w:ascii="黑体" w:eastAsia="黑体"/>
                <w:b/>
                <w:sz w:val="20"/>
              </w:rPr>
              <w:t>常见违法行为表现</w:t>
            </w:r>
          </w:p>
        </w:tc>
        <w:tc>
          <w:tcPr>
            <w:tcW w:w="5672" w:type="dxa"/>
          </w:tcPr>
          <w:p>
            <w:pPr>
              <w:pStyle w:val="16"/>
              <w:spacing w:before="4"/>
              <w:rPr>
                <w:rFonts w:ascii="楷体"/>
                <w:sz w:val="14"/>
              </w:rPr>
            </w:pPr>
          </w:p>
          <w:p>
            <w:pPr>
              <w:pStyle w:val="16"/>
              <w:spacing w:before="1"/>
              <w:ind w:left="1908" w:right="1895"/>
              <w:jc w:val="center"/>
              <w:rPr>
                <w:rFonts w:hint="eastAsia" w:ascii="黑体" w:eastAsia="黑体"/>
                <w:b/>
                <w:sz w:val="20"/>
              </w:rPr>
            </w:pPr>
            <w:r>
              <w:rPr>
                <w:rFonts w:hint="eastAsia" w:ascii="黑体" w:eastAsia="黑体"/>
                <w:b/>
                <w:sz w:val="20"/>
              </w:rPr>
              <w:t>法律依据及违法责任</w:t>
            </w:r>
          </w:p>
        </w:tc>
        <w:tc>
          <w:tcPr>
            <w:tcW w:w="750" w:type="dxa"/>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rPr>
                <w:rFonts w:hint="eastAsia" w:ascii="黑体" w:eastAsia="黑体"/>
                <w:b/>
                <w:sz w:val="20"/>
              </w:rPr>
            </w:pPr>
            <w:r>
              <w:rPr>
                <w:rFonts w:hint="eastAsia" w:ascii="黑体" w:eastAsia="黑体"/>
                <w:b/>
                <w:w w:val="95"/>
                <w:sz w:val="20"/>
              </w:rPr>
              <w:t>等级</w:t>
            </w:r>
          </w:p>
        </w:tc>
        <w:tc>
          <w:tcPr>
            <w:tcW w:w="2631" w:type="dxa"/>
          </w:tcPr>
          <w:p>
            <w:pPr>
              <w:pStyle w:val="16"/>
              <w:spacing w:before="4"/>
              <w:rPr>
                <w:rFonts w:ascii="楷体"/>
                <w:sz w:val="14"/>
              </w:rPr>
            </w:pPr>
          </w:p>
          <w:p>
            <w:pPr>
              <w:pStyle w:val="16"/>
              <w:spacing w:before="1"/>
              <w:ind w:left="892" w:right="875"/>
              <w:jc w:val="center"/>
              <w:rPr>
                <w:rFonts w:hint="eastAsia" w:ascii="黑体" w:eastAsia="黑体"/>
                <w:b/>
                <w:sz w:val="20"/>
              </w:rPr>
            </w:pPr>
            <w:r>
              <w:rPr>
                <w:rFonts w:hint="eastAsia" w:ascii="黑体" w:eastAsia="黑体"/>
                <w:b/>
                <w:sz w:val="20"/>
              </w:rPr>
              <w:t>合规建议</w:t>
            </w:r>
          </w:p>
        </w:tc>
        <w:tc>
          <w:tcPr>
            <w:tcW w:w="1117" w:type="dxa"/>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rPr>
                <w:rFonts w:hint="eastAsia" w:ascii="黑体" w:eastAsia="黑体"/>
                <w:b/>
                <w:sz w:val="20"/>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20" w:hRule="atLeast"/>
        </w:trPr>
        <w:tc>
          <w:tcPr>
            <w:tcW w:w="653" w:type="dxa"/>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20"/>
                <w:szCs w:val="20"/>
                <w:u w:val="none"/>
                <w:lang w:val="zh-CN" w:eastAsia="zh-CN" w:bidi="zh-CN"/>
              </w:rPr>
            </w:pPr>
            <w:r>
              <w:rPr>
                <w:rFonts w:hint="default" w:ascii="Times New Roman" w:hAnsi="Times New Roman" w:eastAsia="方正楷体_GBK" w:cs="Times New Roman"/>
                <w:w w:val="100"/>
                <w:sz w:val="16"/>
                <w:szCs w:val="16"/>
                <w:lang w:val="en-US" w:eastAsia="zh-CN" w:bidi="zh-CN"/>
              </w:rPr>
              <w:t>1</w:t>
            </w:r>
          </w:p>
        </w:tc>
        <w:tc>
          <w:tcPr>
            <w:tcW w:w="1354" w:type="dxa"/>
            <w:tcMar>
              <w:top w:w="0" w:type="dxa"/>
              <w:left w:w="57" w:type="dxa"/>
              <w:bottom w:w="0"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rPr>
                <w:rFonts w:hint="eastAsia" w:ascii="宋体" w:hAnsi="宋体" w:eastAsia="宋体" w:cs="宋体"/>
                <w:i w:val="0"/>
                <w:color w:val="000000"/>
                <w:szCs w:val="20"/>
                <w:u w:val="none"/>
                <w:lang w:val="zh-CN" w:eastAsia="zh-CN" w:bidi="zh-CN"/>
              </w:rPr>
            </w:pPr>
            <w:r>
              <w:rPr>
                <w:rFonts w:hint="eastAsia" w:ascii="方正楷体_GBK" w:hAnsi="方正楷体_GBK" w:eastAsia="方正楷体_GBK" w:cs="方正楷体_GBK"/>
                <w:sz w:val="16"/>
                <w:lang w:val="en-US" w:eastAsia="zh-CN"/>
              </w:rPr>
              <w:t>市容环卫责任人应当履行市容环卫责任</w:t>
            </w:r>
          </w:p>
        </w:tc>
        <w:tc>
          <w:tcPr>
            <w:tcW w:w="2180" w:type="dxa"/>
            <w:tcMar>
              <w:top w:w="0" w:type="dxa"/>
              <w:left w:w="57" w:type="dxa"/>
              <w:bottom w:w="0" w:type="dxa"/>
              <w:right w:w="57"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1.未签订《市容环境卫生责任书》</w:t>
            </w:r>
            <w:r>
              <w:rPr>
                <w:rFonts w:hint="eastAsia" w:ascii="Times New Roman" w:hAnsi="Times New Roman" w:eastAsia="方正楷体_GBK" w:cs="Times New Roman"/>
                <w:sz w:val="16"/>
                <w:szCs w:val="22"/>
                <w:lang w:val="en-US" w:eastAsia="zh-CN" w:bidi="zh-CN"/>
              </w:rPr>
              <w:t>；</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2.责任区内超出门</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窗进行店外占道经营</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作业</w:t>
            </w:r>
            <w:r>
              <w:rPr>
                <w:rFonts w:hint="eastAsia" w:ascii="Times New Roman" w:hAnsi="Times New Roman" w:eastAsia="方正楷体_GBK" w:cs="Times New Roman"/>
                <w:sz w:val="16"/>
                <w:szCs w:val="22"/>
                <w:lang w:val="en-US" w:eastAsia="zh-CN" w:bidi="zh-CN"/>
              </w:rPr>
              <w:t>；</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3.责任区内未实施垃圾分类</w:t>
            </w:r>
            <w:r>
              <w:rPr>
                <w:rFonts w:hint="eastAsia" w:ascii="Times New Roman" w:hAnsi="Times New Roman" w:eastAsia="方正楷体_GBK" w:cs="Times New Roman"/>
                <w:sz w:val="16"/>
                <w:szCs w:val="22"/>
                <w:lang w:val="en-US" w:eastAsia="zh-CN" w:bidi="zh-CN"/>
              </w:rPr>
              <w:t>；</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宋体" w:hAnsi="宋体" w:eastAsia="宋体" w:cs="宋体"/>
                <w:i w:val="0"/>
                <w:color w:val="000000"/>
                <w:sz w:val="20"/>
                <w:szCs w:val="20"/>
                <w:u w:val="none"/>
                <w:lang w:val="zh-CN" w:eastAsia="zh-CN" w:bidi="zh-CN"/>
              </w:rPr>
            </w:pPr>
            <w:r>
              <w:rPr>
                <w:rFonts w:hint="default" w:ascii="Times New Roman" w:hAnsi="Times New Roman" w:eastAsia="方正楷体_GBK" w:cs="Times New Roman"/>
                <w:sz w:val="16"/>
                <w:szCs w:val="22"/>
                <w:lang w:val="en-US" w:eastAsia="zh-CN" w:bidi="zh-CN"/>
              </w:rPr>
              <w:t>4.责任区内乱拉乱挂、乱涂乱贴、乱停车辆、乱堆乱放张贴、乱扔垃圾等</w:t>
            </w:r>
            <w:r>
              <w:rPr>
                <w:rFonts w:hint="eastAsia" w:ascii="Times New Roman" w:hAnsi="Times New Roman" w:eastAsia="方正楷体_GBK" w:cs="Times New Roman"/>
                <w:sz w:val="16"/>
                <w:szCs w:val="22"/>
                <w:lang w:val="en-US" w:eastAsia="zh-CN" w:bidi="zh-CN"/>
              </w:rPr>
              <w:t>。</w:t>
            </w:r>
          </w:p>
        </w:tc>
        <w:tc>
          <w:tcPr>
            <w:tcW w:w="5672" w:type="dxa"/>
            <w:tcMar>
              <w:top w:w="0" w:type="dxa"/>
              <w:left w:w="57" w:type="dxa"/>
              <w:bottom w:w="0"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rPr>
                <w:rFonts w:hint="default" w:ascii="Times New Roman" w:hAnsi="Times New Roman" w:eastAsia="方正楷体_GBK" w:cs="Times New Roman"/>
                <w:sz w:val="16"/>
                <w:lang w:val="en-US" w:eastAsia="zh-CN"/>
              </w:rPr>
            </w:pPr>
            <w:r>
              <w:rPr>
                <w:rFonts w:hint="default" w:ascii="Times New Roman" w:hAnsi="Times New Roman" w:eastAsia="方正楷体_GBK" w:cs="Times New Roman"/>
                <w:sz w:val="16"/>
                <w:lang w:val="en-US" w:eastAsia="zh-CN"/>
              </w:rPr>
              <w:t>【地方性法规】《江苏省城市市容和环境卫生管理条例》（2023修订）</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第七条第一款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本省市容环卫管理工作实行责任区制度</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市容环卫责任人应当在确定的责任区内履行市容环卫责任</w:t>
            </w:r>
            <w:r>
              <w:rPr>
                <w:rFonts w:hint="eastAsia" w:ascii="Times New Roman" w:hAnsi="Times New Roman" w:eastAsia="方正楷体_GBK" w:cs="Times New Roman"/>
                <w:sz w:val="16"/>
                <w:szCs w:val="22"/>
                <w:lang w:val="en-US" w:eastAsia="zh-CN" w:bidi="zh-CN"/>
              </w:rPr>
              <w:t>。</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第九条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 xml:space="preserve"> 市容环卫责任人应当保持责任区内地面干净、立面整洁、设施完好，具体要求由设区的市人民政府制定并向社会公布。</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市容环卫责任人对责任区内损害市容环卫的行为，应当予以劝阻、制止；劝阻、制止无效的，向所在地城市管理等有关部门或者乡镇人民政府报告。</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第二十条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沿街和公共广场周围建（构）筑物内的经营者应当按照市容环卫责任要求履行相应责任，不得违反市容环卫</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道路通行等规定，擅自超出门窗、外墙进行店外占道经营、作业或者展示商品。</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设区的市、县（市、区）、乡镇人民政府可以根据需要，确定并公布允许超出门窗、外墙进行店外经营、作业或者展示商品的区域范围、时段、业态，明确经营者的市容环卫责任等管理要求。</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第四十二条第一款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产生垃圾的单位和个人应当按照规定将生活垃圾、建筑垃圾、园林绿化垃圾分类投放，不得随意倾倒、抛撒、堆放。</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第四十二条第二款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生活垃圾应当在指定的地点分类投放。居住区推行生活垃圾定时投放，并根据实际需要设置错时投放点，方便居民投放。家具、家用电器等体积较大或者需要分拆处理的大件垃圾，应当投放在指定的堆放点，或者预约再生资源回收利用单位等上门收集。供餐单位、宾馆酒店等餐厨垃圾产生单位（含个体工商户，下同）应当将餐厨垃圾单独存放，在产生后二十四小时内交由餐厨垃圾收集、运输服务企业收集、运输，不得排入雨水管道、污水管道、河道、湖泊、水库、沟渠和公共厕所。</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 第六十二条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 xml:space="preserve"> 违反本条例第九条规定，市容环卫责任人不履行市容环卫责任，未保持责任区内地面干净、立面整洁、设施完好的，由设区的市、县（市、区）城市管理主管部门责令限期改正；逾期不改正的，给予警告，可以并处二百元以上二千元以下罚款。</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第六十三条第（七）项</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 xml:space="preserve"> 违反本条例规定，有下列行为之一，影响市容的，由设区的市、县（市、区）城市管理主管部门按照以下规定处理：</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（七）擅自超出门窗、外墙进行店外占道经营、作业或者展示商品的，责令限期改正；逾期不改正的，处一百元以上一千元以下罚款。</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第六十五条第（三）项</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 xml:space="preserve"> 违反本条例垃圾分类管理规定，有下列行为之一的，由设区的市、县（市、区）城市管理主管部门按照以下规定处理：</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i w:val="0"/>
                <w:color w:val="000000"/>
                <w:sz w:val="20"/>
                <w:szCs w:val="20"/>
                <w:u w:val="none"/>
                <w:lang w:val="zh-CN" w:eastAsia="zh-CN" w:bidi="zh-CN"/>
              </w:rPr>
            </w:pPr>
            <w:r>
              <w:rPr>
                <w:rFonts w:hint="default" w:ascii="Times New Roman" w:hAnsi="Times New Roman" w:eastAsia="方正楷体_GBK" w:cs="Times New Roman"/>
                <w:sz w:val="16"/>
                <w:szCs w:val="22"/>
                <w:lang w:val="en-US" w:eastAsia="zh-CN" w:bidi="zh-CN"/>
              </w:rPr>
              <w:t>（三）未在指定的地点分类投放生活垃圾的，责令改正；情节严重的，对单位处五万元以上五十万元以下罚款；对拒不改正的个人处二十元以上二百元以下罚款。</w:t>
            </w:r>
          </w:p>
        </w:tc>
        <w:tc>
          <w:tcPr>
            <w:tcW w:w="750" w:type="dxa"/>
            <w:tcMar>
              <w:top w:w="0" w:type="dxa"/>
              <w:left w:w="57" w:type="dxa"/>
              <w:bottom w:w="0" w:type="dxa"/>
              <w:right w:w="57"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center"/>
              <w:rPr>
                <w:rFonts w:hint="default" w:ascii="Times New Roman" w:hAnsi="Times New Roman" w:eastAsia="方正楷体_GBK" w:cs="Times New Roman"/>
                <w:i w:val="0"/>
                <w:color w:val="000000"/>
                <w:sz w:val="20"/>
                <w:szCs w:val="20"/>
                <w:u w:val="none"/>
                <w:lang w:val="zh-CN" w:eastAsia="zh-CN" w:bidi="zh-CN"/>
              </w:rPr>
            </w:pPr>
            <w:r>
              <w:rPr>
                <w:rFonts w:hint="default" w:ascii="Times New Roman" w:hAnsi="Times New Roman" w:cs="Times New Roman" w:eastAsiaTheme="minorEastAsia"/>
                <w:sz w:val="16"/>
                <w:szCs w:val="22"/>
                <w:lang w:val="en-US" w:eastAsia="zh-CN" w:bidi="zh-CN"/>
              </w:rPr>
              <w:t>★★★</w:t>
            </w:r>
          </w:p>
        </w:tc>
        <w:tc>
          <w:tcPr>
            <w:tcW w:w="2631" w:type="dxa"/>
            <w:tcMar>
              <w:top w:w="0" w:type="dxa"/>
              <w:left w:w="57" w:type="dxa"/>
              <w:bottom w:w="0" w:type="dxa"/>
              <w:right w:w="57"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1.沿街商业经营者应当在所在地城市管理等有关部门或者乡镇人民政府的指导下，签订《市容环境卫生责任书》，明确市容环卫责任区范围。</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2.沿街商业经营者应主动维护市容秩序、环境卫生和立面环境，对于对在市容环卫责任区内发生的损害市容环卫的行为，应予以劝阻，向所在地城市管理等有关部门或者乡镇人民政府报告。</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3.沿街商业经营者在经营过程中不超出门、窗进行店外占道经营、作业，如因经营需要，应向属地政府申请，经批准后进行。</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default" w:ascii="Times New Roman" w:hAnsi="Times New Roman" w:eastAsia="方正楷体_GBK" w:cs="Times New Roman"/>
                <w:i w:val="0"/>
                <w:color w:val="000000"/>
                <w:sz w:val="20"/>
                <w:szCs w:val="20"/>
                <w:u w:val="none"/>
                <w:lang w:val="zh-CN" w:eastAsia="zh-CN" w:bidi="zh-CN"/>
              </w:rPr>
            </w:pPr>
            <w:r>
              <w:rPr>
                <w:rFonts w:hint="default" w:ascii="Times New Roman" w:hAnsi="Times New Roman" w:eastAsia="方正楷体_GBK" w:cs="Times New Roman"/>
                <w:sz w:val="16"/>
                <w:szCs w:val="22"/>
                <w:lang w:val="en-US" w:eastAsia="zh-CN" w:bidi="zh-CN"/>
              </w:rPr>
              <w:t>4.沿街商业经营者在经营活动中产生的垃圾，应当实行袋装化，并按照指定地点、指点时间内进行</w:t>
            </w:r>
            <w:r>
              <w:rPr>
                <w:rFonts w:hint="eastAsia" w:ascii="Times New Roman" w:hAnsi="Times New Roman" w:eastAsia="方正楷体_GBK" w:cs="Times New Roman"/>
                <w:sz w:val="16"/>
                <w:szCs w:val="22"/>
                <w:lang w:val="en-US" w:eastAsia="zh-CN" w:bidi="zh-CN"/>
              </w:rPr>
              <w:t>分类</w:t>
            </w:r>
            <w:r>
              <w:rPr>
                <w:rFonts w:hint="default" w:ascii="Times New Roman" w:hAnsi="Times New Roman" w:eastAsia="方正楷体_GBK" w:cs="Times New Roman"/>
                <w:sz w:val="16"/>
                <w:szCs w:val="22"/>
                <w:lang w:val="en-US" w:eastAsia="zh-CN" w:bidi="zh-CN"/>
              </w:rPr>
              <w:t>投放。</w:t>
            </w:r>
          </w:p>
        </w:tc>
        <w:tc>
          <w:tcPr>
            <w:tcW w:w="1117" w:type="dxa"/>
            <w:tcMar>
              <w:top w:w="0" w:type="dxa"/>
              <w:left w:w="57" w:type="dxa"/>
              <w:bottom w:w="0" w:type="dxa"/>
              <w:right w:w="57"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jc w:val="center"/>
              <w:textAlignment w:val="center"/>
              <w:rPr>
                <w:rFonts w:hint="default" w:ascii="Times New Roman" w:hAnsi="Times New Roman" w:eastAsia="宋体" w:cs="Times New Roman"/>
                <w:i w:val="0"/>
                <w:color w:val="000000"/>
                <w:sz w:val="20"/>
                <w:szCs w:val="20"/>
                <w:u w:val="none"/>
                <w:lang w:val="zh-CN" w:eastAsia="zh-CN" w:bidi="zh-CN"/>
              </w:rPr>
            </w:pPr>
            <w:r>
              <w:rPr>
                <w:rFonts w:hint="default" w:ascii="Times New Roman" w:hAnsi="Times New Roman" w:eastAsia="方正楷体_GBK" w:cs="Times New Roman"/>
                <w:sz w:val="16"/>
                <w:szCs w:val="22"/>
                <w:lang w:val="en-US" w:eastAsia="zh-CN" w:bidi="zh-CN"/>
              </w:rPr>
              <w:t>市容科81178423</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环卫科81178421</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执法大队市容秩序中队85875359</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 xml:space="preserve">胡埭城管办85596708 </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马山城管办85993813</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 xml:space="preserve">雪浪城管办85950265  </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河埒城管办85866906</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荣巷城管办85510356</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蠡湖城管办66002852</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蠡园城管办85139177</w:t>
            </w:r>
          </w:p>
        </w:tc>
      </w:tr>
    </w:tbl>
    <w:p>
      <w:pPr>
        <w:pStyle w:val="16"/>
        <w:spacing w:before="4"/>
        <w:rPr>
          <w:rFonts w:ascii="楷体"/>
          <w:sz w:val="14"/>
        </w:rPr>
      </w:pPr>
      <w:r>
        <w:rPr>
          <w:rFonts w:ascii="楷体"/>
          <w:sz w:val="14"/>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371" w:hRule="atLeast"/>
        </w:trPr>
        <w:tc>
          <w:tcPr>
            <w:tcW w:w="653" w:type="dxa"/>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20"/>
                <w:szCs w:val="20"/>
                <w:u w:val="none"/>
                <w:lang w:val="zh-CN" w:eastAsia="zh-CN" w:bidi="zh-CN"/>
              </w:rPr>
            </w:pPr>
            <w:r>
              <w:rPr>
                <w:rFonts w:hint="default" w:ascii="Times New Roman" w:hAnsi="Times New Roman" w:eastAsia="方正楷体_GBK" w:cs="Times New Roman"/>
                <w:w w:val="100"/>
                <w:sz w:val="16"/>
                <w:szCs w:val="16"/>
                <w:lang w:val="en-US" w:eastAsia="zh-CN" w:bidi="zh-CN"/>
              </w:rPr>
              <w:t>2</w:t>
            </w:r>
          </w:p>
        </w:tc>
        <w:tc>
          <w:tcPr>
            <w:tcW w:w="1354" w:type="dxa"/>
            <w:tcMar>
              <w:left w:w="57" w:type="dxa"/>
              <w:right w:w="57"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right="0" w:rightChars="0"/>
              <w:jc w:val="both"/>
              <w:textAlignment w:val="center"/>
              <w:rPr>
                <w:rFonts w:hint="eastAsia" w:ascii="Times New Roman" w:hAnsi="Times New Roman" w:eastAsia="方正楷体_GBK" w:cs="Times New Roman"/>
                <w:sz w:val="16"/>
                <w:szCs w:val="22"/>
                <w:lang w:val="zh-CN" w:eastAsia="zh-CN" w:bidi="zh-CN"/>
              </w:rPr>
            </w:pPr>
            <w:r>
              <w:rPr>
                <w:rFonts w:hint="eastAsia" w:ascii="Times New Roman" w:hAnsi="Times New Roman" w:eastAsia="方正楷体_GBK" w:cs="Times New Roman"/>
                <w:sz w:val="16"/>
                <w:szCs w:val="22"/>
                <w:lang w:val="en-US" w:eastAsia="zh-CN" w:bidi="zh-CN"/>
              </w:rPr>
              <w:t>店招标牌设置应当符合市容管理规定</w:t>
            </w:r>
          </w:p>
        </w:tc>
        <w:tc>
          <w:tcPr>
            <w:tcW w:w="2180" w:type="dxa"/>
            <w:tcMar>
              <w:left w:w="57" w:type="dxa"/>
              <w:right w:w="57"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1.店招标牌设施设置不符合店招标牌设施设置规划和城市街景规划（设计）要求的；</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2.店招标牌设施设置名称与营业证照、商标注册不相符的；</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3.店招标牌设施设置影响建（构）筑物采光通风以及消防安全的；</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4.因搬迁、解散或者被吊销营业执照等情形，设置者不在原经营场所继续经营，未自行拆除店招标牌，恢复附着建（构）筑物原貌的；</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5.在 25 米以上建（构）筑物屋顶设置店招标牌的；</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sz w:val="16"/>
                <w:szCs w:val="22"/>
                <w:lang w:val="en-US" w:eastAsia="zh-CN" w:bidi="zh-CN"/>
              </w:rPr>
              <w:t>6.发现安全隐患未立即自行整改。</w:t>
            </w:r>
          </w:p>
        </w:tc>
        <w:tc>
          <w:tcPr>
            <w:tcW w:w="5672" w:type="dxa"/>
            <w:tcMar>
              <w:left w:w="57" w:type="dxa"/>
              <w:right w:w="57"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240" w:lineRule="auto"/>
              <w:ind w:right="0" w:rightChars="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【地方政府规章】《无锡市户外广告和店招标牌设施设置管理办法》</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317" w:leftChars="144" w:right="0" w:rightChars="0" w:firstLine="0" w:firstLineChars="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第十七条  店招标牌设施设置应当符合下列要求：</w:t>
            </w:r>
            <w:r>
              <w:rPr>
                <w:rFonts w:hint="eastAsia"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（一）符合店招标牌设施设置规划和城市街景规划（设计）要求；</w:t>
            </w:r>
            <w:r>
              <w:rPr>
                <w:rFonts w:hint="eastAsia"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（二）名称与营业证照、商标注册相符；</w:t>
            </w:r>
            <w:r>
              <w:rPr>
                <w:rFonts w:hint="eastAsia"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（三）按照国家通用语言文字规范使用文字、汉语拼音，使用外国文字的，按照规定同时使用中文；</w:t>
            </w:r>
            <w:r>
              <w:rPr>
                <w:rFonts w:hint="eastAsia"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（四）</w:t>
            </w:r>
            <w:r>
              <w:rPr>
                <w:rFonts w:hint="default" w:ascii="Times New Roman" w:hAnsi="Times New Roman" w:eastAsia="方正楷体_GBK" w:cs="Times New Roman"/>
                <w:sz w:val="16"/>
                <w:szCs w:val="22"/>
                <w:lang w:val="en-US" w:eastAsia="zh-CN" w:bidi="zh-CN"/>
              </w:rPr>
              <w:t>25 米以上</w:t>
            </w:r>
            <w:r>
              <w:rPr>
                <w:rFonts w:hint="eastAsia" w:ascii="Times New Roman" w:hAnsi="Times New Roman" w:eastAsia="方正楷体_GBK" w:cs="Times New Roman"/>
                <w:sz w:val="16"/>
                <w:szCs w:val="22"/>
                <w:lang w:val="en-US" w:eastAsia="zh-CN" w:bidi="zh-CN"/>
              </w:rPr>
              <w:t>建（构）筑物屋顶不得设置店招标牌；</w:t>
            </w:r>
            <w:r>
              <w:rPr>
                <w:rFonts w:hint="eastAsia"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（五）不得影响建（构）筑物采光通风以及消防安全；</w:t>
            </w:r>
            <w:r>
              <w:rPr>
                <w:rFonts w:hint="eastAsia"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（六）依法应当符合的其他要求。</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第三十四条  在设置或者更新店招标牌设施前，设置者应当将下列材料提供给市（县）、区城市管理行政主管部门，接受设置指导，并办理备案：</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（一）房屋使用权材料；</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（二）店招标牌效果图；</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（三）现场照片；</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（四）安全承诺书等。</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第四十五条  有下列情形之一的，由城市管理行政执法部门责令限期改正；逾期未改正的，</w:t>
            </w:r>
            <w:r>
              <w:rPr>
                <w:rFonts w:hint="default" w:ascii="Times New Roman" w:hAnsi="Times New Roman" w:eastAsia="方正楷体_GBK" w:cs="Times New Roman"/>
                <w:sz w:val="16"/>
                <w:szCs w:val="22"/>
                <w:lang w:val="en-US" w:eastAsia="zh-CN" w:bidi="zh-CN"/>
              </w:rPr>
              <w:t>处 2000 元以上5000 元以下</w:t>
            </w:r>
            <w:r>
              <w:rPr>
                <w:rFonts w:hint="eastAsia" w:ascii="Times New Roman" w:hAnsi="Times New Roman" w:eastAsia="方正楷体_GBK" w:cs="Times New Roman"/>
                <w:sz w:val="16"/>
                <w:szCs w:val="22"/>
                <w:lang w:val="en-US" w:eastAsia="zh-CN" w:bidi="zh-CN"/>
              </w:rPr>
              <w:t>罚款：</w:t>
            </w:r>
          </w:p>
          <w:p>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违反本办法第十六条规定，利用建（构）筑物玻璃幕墙、临街门窗等内外侧，以悬挂、张贴等形式设置户外广告，不符合城市容貌标准、户外广告设施设置详细规划的；</w:t>
            </w:r>
          </w:p>
          <w:p>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违反本办法第十七条第一项规定，店招标牌设施设置不符合店招标牌设施设置规划和城市街景规划（设计）要求的；</w:t>
            </w:r>
          </w:p>
          <w:p>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违反本办法第十七条第二项规定，店招标牌设施设置名称与营业证照、商标注册不相符的；</w:t>
            </w:r>
          </w:p>
          <w:p>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违反本办法第十七条第五项规定，店招标牌设施设置影响建（构）筑物采光通风以及消防安全的；</w:t>
            </w:r>
          </w:p>
          <w:p>
            <w:pPr>
              <w:keepNext w:val="0"/>
              <w:keepLines w:val="0"/>
              <w:pageBreakBefore w:val="0"/>
              <w:widowControl/>
              <w:numPr>
                <w:ilvl w:val="0"/>
                <w:numId w:val="1"/>
              </w:numPr>
              <w:suppressLineNumbers w:val="0"/>
              <w:kinsoku/>
              <w:wordWrap/>
              <w:overflowPunct/>
              <w:topLinePunct w:val="0"/>
              <w:autoSpaceDE w:val="0"/>
              <w:autoSpaceDN w:val="0"/>
              <w:bidi w:val="0"/>
              <w:adjustRightInd/>
              <w:snapToGrid/>
              <w:spacing w:line="240"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违反本办法第三十六条第一款规定，因搬迁、解散或者被吊销营业执照等情形，设置者不在原经营场所继续经营，未自行拆除店招标牌，恢复附着建（构）筑物原貌的。</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第四十六条  违反本办法第十七条第四项规定，在 25 米以上建（构）筑物屋顶设置店招标牌的，由城市管理行政执法部门责令限期拆除，处 5000元以上 20000 元以下罚款。</w:t>
            </w:r>
          </w:p>
          <w:p>
            <w:pPr>
              <w:keepNext w:val="0"/>
              <w:keepLines w:val="0"/>
              <w:pageBreakBefore w:val="0"/>
              <w:widowControl/>
              <w:suppressLineNumbers w:val="0"/>
              <w:kinsoku/>
              <w:wordWrap/>
              <w:overflowPunct/>
              <w:topLinePunct w:val="0"/>
              <w:autoSpaceDE w:val="0"/>
              <w:autoSpaceDN w:val="0"/>
              <w:bidi w:val="0"/>
              <w:adjustRightInd/>
              <w:snapToGrid/>
              <w:spacing w:line="240" w:lineRule="auto"/>
              <w:ind w:left="0" w:leftChars="0" w:right="0" w:rightChars="0" w:firstLine="320" w:firstLineChars="200"/>
              <w:jc w:val="both"/>
              <w:textAlignment w:val="center"/>
              <w:rPr>
                <w:rFonts w:hint="eastAsia" w:ascii="方正楷体_GBK" w:hAnsi="方正楷体_GBK" w:eastAsia="方正楷体_GBK" w:cs="方正楷体_GBK"/>
                <w:sz w:val="16"/>
                <w:lang w:val="zh-CN" w:eastAsia="zh-CN"/>
              </w:rPr>
            </w:pPr>
            <w:r>
              <w:rPr>
                <w:rFonts w:hint="eastAsia" w:ascii="Times New Roman" w:hAnsi="Times New Roman" w:eastAsia="方正楷体_GBK" w:cs="Times New Roman"/>
                <w:sz w:val="16"/>
                <w:szCs w:val="22"/>
                <w:lang w:val="en-US" w:eastAsia="zh-CN" w:bidi="zh-CN"/>
              </w:rPr>
              <w:t>第四十八条  违反本办法第三十八条第四项规定，发现安全隐患未立即自行整改的，由城市管理行政执法部门责令限期改正，处 2000 元以上 5000元以下罚款。</w:t>
            </w:r>
          </w:p>
        </w:tc>
        <w:tc>
          <w:tcPr>
            <w:tcW w:w="750" w:type="dxa"/>
            <w:tcMar>
              <w:left w:w="57" w:type="dxa"/>
              <w:right w:w="57"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20"/>
                <w:szCs w:val="20"/>
                <w:u w:val="none"/>
                <w:lang w:val="zh-CN" w:eastAsia="zh-CN" w:bidi="zh-CN"/>
              </w:rPr>
            </w:pPr>
            <w:r>
              <w:rPr>
                <w:rFonts w:hint="default" w:ascii="Times New Roman" w:hAnsi="Times New Roman" w:eastAsia="宋体" w:cs="Times New Roman"/>
                <w:i w:val="0"/>
                <w:color w:val="000000"/>
                <w:kern w:val="0"/>
                <w:sz w:val="16"/>
                <w:szCs w:val="16"/>
                <w:u w:val="none"/>
                <w:lang w:val="en-US" w:eastAsia="zh-CN" w:bidi="ar"/>
              </w:rPr>
              <w:t>★★★</w:t>
            </w:r>
          </w:p>
        </w:tc>
        <w:tc>
          <w:tcPr>
            <w:tcW w:w="2631" w:type="dxa"/>
            <w:tcMar>
              <w:top w:w="57" w:type="dxa"/>
              <w:left w:w="57" w:type="dxa"/>
              <w:bottom w:w="57" w:type="dxa"/>
              <w:right w:w="57" w:type="dxa"/>
            </w:tcMar>
            <w:vAlign w:val="center"/>
          </w:tcPr>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1.在设置或者更新店招标牌设施前，设置者应当将下列材料提供给属地城管办，接受设置指导，并办理备案：</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（一）房屋使用权材料；</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（二）店招标牌效果图；</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（三）现场照片；</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（四）安全承诺书等。</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2.店招标牌设施设置应当符合下列要求：</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（一）符合店招标牌设施设置规划和城市街景规划（设计）要求；</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（二）名称与营业证照、商标注册相符；</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（三）按照国家通用语言文字规范使用文字、汉语拼音，使用外国文字的，按照规定同时使用中文；</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（四）25 米以上建（构）筑物屋顶不得设置店招标牌；</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（五）不得影响建（构）筑物采光通风以及消防安全；</w:t>
            </w:r>
          </w:p>
          <w:p>
            <w:pPr>
              <w:keepNext w:val="0"/>
              <w:keepLines w:val="0"/>
              <w:widowControl/>
              <w:suppressLineNumbers w:val="0"/>
              <w:ind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（六）依法应当符合的其他要求。</w:t>
            </w:r>
          </w:p>
          <w:p>
            <w:pPr>
              <w:keepNext w:val="0"/>
              <w:keepLines w:val="0"/>
              <w:widowControl/>
              <w:suppressLineNumbers w:val="0"/>
              <w:ind w:right="0" w:rightChars="0" w:firstLine="320" w:firstLineChars="200"/>
              <w:jc w:val="both"/>
              <w:textAlignment w:val="center"/>
              <w:rPr>
                <w:rFonts w:hint="eastAsia"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sz w:val="16"/>
                <w:szCs w:val="22"/>
                <w:lang w:val="en-US" w:eastAsia="zh-CN" w:bidi="zh-CN"/>
              </w:rPr>
              <w:t>3.店招标牌设施设置者是店招标牌设施维护、管理的责任人，负责设施的维护保养，确保其美观、牢固、安全。</w:t>
            </w:r>
          </w:p>
        </w:tc>
        <w:tc>
          <w:tcPr>
            <w:tcW w:w="1117" w:type="dxa"/>
            <w:tcMar>
              <w:left w:w="57" w:type="dxa"/>
              <w:right w:w="57" w:type="dxa"/>
            </w:tcMar>
            <w:vAlign w:val="center"/>
          </w:tcPr>
          <w:p>
            <w:pPr>
              <w:keepNext w:val="0"/>
              <w:keepLines w:val="0"/>
              <w:widowControl/>
              <w:suppressLineNumbers w:val="0"/>
              <w:ind w:left="0" w:leftChars="0" w:right="0" w:rightChars="0"/>
              <w:jc w:val="center"/>
              <w:textAlignment w:val="center"/>
              <w:rPr>
                <w:rFonts w:hint="eastAsia" w:ascii="方正楷体_GBK" w:hAnsi="方正楷体_GBK" w:eastAsia="方正楷体_GBK" w:cs="方正楷体_GBK"/>
                <w:sz w:val="16"/>
                <w:szCs w:val="22"/>
                <w:lang w:val="zh-CN" w:eastAsia="zh-CN" w:bidi="zh-CN"/>
              </w:rPr>
            </w:pP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区审批中心窗口电话85878762</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 xml:space="preserve">胡埭咨询85595475 </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马山咨询85993813</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 xml:space="preserve">雪浪咨询85957690  </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河埒咨询85862614</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荣巷咨询85510065</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蠡湖咨询66002852</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蠡园咨询85126590</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执法大队市容秩序中队85875359</w:t>
            </w:r>
          </w:p>
        </w:tc>
      </w:tr>
    </w:tbl>
    <w:p>
      <w:pPr>
        <w:pStyle w:val="16"/>
        <w:spacing w:before="4"/>
        <w:rPr>
          <w:rFonts w:ascii="楷体"/>
          <w:sz w:val="14"/>
        </w:rPr>
      </w:pPr>
      <w:r>
        <w:rPr>
          <w:rFonts w:ascii="楷体"/>
          <w:sz w:val="14"/>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96" w:hRule="atLeast"/>
        </w:trPr>
        <w:tc>
          <w:tcPr>
            <w:tcW w:w="653" w:type="dxa"/>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20"/>
                <w:szCs w:val="20"/>
                <w:u w:val="none"/>
                <w:lang w:val="zh-CN" w:eastAsia="zh-CN" w:bidi="zh-CN"/>
              </w:rPr>
            </w:pPr>
            <w:r>
              <w:rPr>
                <w:rFonts w:hint="default" w:ascii="Times New Roman" w:hAnsi="Times New Roman" w:eastAsia="方正楷体_GBK" w:cs="Times New Roman"/>
                <w:w w:val="100"/>
                <w:sz w:val="16"/>
                <w:szCs w:val="16"/>
                <w:lang w:val="en-US" w:eastAsia="zh-CN" w:bidi="zh-CN"/>
              </w:rPr>
              <w:t>3</w:t>
            </w:r>
          </w:p>
        </w:tc>
        <w:tc>
          <w:tcPr>
            <w:tcW w:w="1354" w:type="dxa"/>
            <w:tcMar>
              <w:top w:w="0" w:type="dxa"/>
              <w:left w:w="57" w:type="dxa"/>
              <w:bottom w:w="0" w:type="dxa"/>
              <w:right w:w="57" w:type="dxa"/>
            </w:tcMar>
            <w:vAlign w:val="center"/>
          </w:tcPr>
          <w:p>
            <w:pPr>
              <w:pStyle w:val="16"/>
              <w:bidi w:val="0"/>
              <w:jc w:val="both"/>
              <w:rPr>
                <w:rFonts w:hint="eastAsia" w:ascii="宋体" w:hAnsi="宋体" w:eastAsia="宋体" w:cs="宋体"/>
                <w:i w:val="0"/>
                <w:color w:val="000000"/>
                <w:szCs w:val="20"/>
                <w:u w:val="none"/>
                <w:lang w:val="zh-CN" w:eastAsia="zh-CN" w:bidi="zh-CN"/>
              </w:rPr>
            </w:pPr>
            <w:r>
              <w:rPr>
                <w:rFonts w:hint="default" w:ascii="Times New Roman" w:hAnsi="Times New Roman" w:eastAsia="方正楷体_GBK" w:cs="Times New Roman"/>
                <w:sz w:val="16"/>
                <w:szCs w:val="16"/>
                <w:lang w:val="en-US" w:eastAsia="zh-CN"/>
              </w:rPr>
              <w:t>设置户外广告应当符合市容管理规定</w:t>
            </w:r>
          </w:p>
        </w:tc>
        <w:tc>
          <w:tcPr>
            <w:tcW w:w="2180" w:type="dxa"/>
            <w:tcMar>
              <w:top w:w="0" w:type="dxa"/>
              <w:left w:w="57" w:type="dxa"/>
              <w:bottom w:w="0"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1.未经批准，擅自设置户外广告设施；</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2.不按设置规划设置户外广告设施；</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3.未及时修复残损的户外广告设施；</w:t>
            </w:r>
          </w:p>
          <w:p>
            <w:pPr>
              <w:keepNext w:val="0"/>
              <w:keepLines w:val="0"/>
              <w:widowControl/>
              <w:suppressLineNumbers w:val="0"/>
              <w:ind w:left="0" w:leftChars="0" w:right="0" w:rightChars="0" w:firstLine="320" w:firstLineChars="200"/>
              <w:jc w:val="both"/>
              <w:textAlignment w:val="center"/>
              <w:rPr>
                <w:rFonts w:hint="eastAsia" w:ascii="宋体" w:hAnsi="宋体" w:eastAsia="宋体" w:cs="宋体"/>
                <w:i w:val="0"/>
                <w:color w:val="000000"/>
                <w:sz w:val="20"/>
                <w:szCs w:val="20"/>
                <w:u w:val="none"/>
                <w:lang w:val="zh-CN" w:eastAsia="zh-CN" w:bidi="zh-CN"/>
              </w:rPr>
            </w:pPr>
            <w:r>
              <w:rPr>
                <w:rFonts w:hint="eastAsia" w:ascii="Times New Roman" w:hAnsi="Times New Roman" w:eastAsia="方正楷体_GBK" w:cs="Times New Roman"/>
                <w:sz w:val="16"/>
                <w:szCs w:val="22"/>
                <w:lang w:val="en-US" w:eastAsia="zh-CN" w:bidi="zh-CN"/>
              </w:rPr>
              <w:t>4.未按照规定对户外广告设施进行安全检测，或者安全检测不合格未立即整改。</w:t>
            </w:r>
          </w:p>
        </w:tc>
        <w:tc>
          <w:tcPr>
            <w:tcW w:w="5672" w:type="dxa"/>
            <w:tcMar>
              <w:top w:w="57" w:type="dxa"/>
              <w:left w:w="57" w:type="dxa"/>
              <w:bottom w:w="57" w:type="dxa"/>
              <w:right w:w="57" w:type="dxa"/>
            </w:tcMar>
            <w:vAlign w:val="center"/>
          </w:tcPr>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【地方性法规】《江苏省广告条例》（</w:t>
            </w:r>
            <w:r>
              <w:rPr>
                <w:rFonts w:hint="default" w:ascii="Times New Roman" w:hAnsi="Times New Roman" w:eastAsia="方正楷体_GBK" w:cs="Times New Roman"/>
                <w:sz w:val="16"/>
                <w:szCs w:val="22"/>
                <w:lang w:val="en-US" w:eastAsia="zh-CN" w:bidi="zh-CN"/>
              </w:rPr>
              <w:t>2019</w:t>
            </w:r>
            <w:r>
              <w:rPr>
                <w:rFonts w:hint="eastAsia" w:ascii="Times New Roman" w:hAnsi="Times New Roman" w:eastAsia="方正楷体_GBK" w:cs="Times New Roman"/>
                <w:sz w:val="16"/>
                <w:szCs w:val="22"/>
                <w:lang w:val="en-US" w:eastAsia="zh-CN" w:bidi="zh-CN"/>
              </w:rPr>
              <w:t>修订）</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第三十一条  户外广告设施的设置者应当加强检查、维护，保证户外广告设施牢固、安全。气象部门发布台风、暴雨等灾害性天气预警时，设置者应当及时对户外广告设施进行安全检查，采取加固等安全防范措施。</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对残损的户外广告设施，设置者应当及时修复或者拆除。</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第五十七条  违反本条例第三十条第一款规定设置户外广告设施的，由有关审批部门责令设置者限期改正或者拆除，并依照有关法律、法规的规定予以处罚；法律、法规没有规定的，有关审批部门可以处以一万元以上五万元以下罚款。设置者拒不拆除的，由有关审批部门依法强制拆除或者申请人民法院强制拆除。</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第五十八条  违反本条例第三十一条第二款规定，未及时修复残损的户外广告设施的，由有关审批部门责令限期修复；逾期不修复的，由有关审批部门责令限期拆除，处以一千元以上五千元以下的罚款；逾期不拆除的，依法强制拆除或者申请人民法院强制拆除。</w:t>
            </w:r>
            <w:r>
              <w:rPr>
                <w:rFonts w:hint="eastAsia"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【地方性法规】《无锡市市容和环境卫生管理条例》（</w:t>
            </w:r>
            <w:r>
              <w:rPr>
                <w:rFonts w:hint="default" w:ascii="Times New Roman" w:hAnsi="Times New Roman" w:eastAsia="方正楷体_GBK" w:cs="Times New Roman"/>
                <w:sz w:val="16"/>
                <w:szCs w:val="22"/>
                <w:lang w:val="en-US" w:eastAsia="zh-CN" w:bidi="zh-CN"/>
              </w:rPr>
              <w:t>2019</w:t>
            </w:r>
            <w:r>
              <w:rPr>
                <w:rFonts w:hint="eastAsia" w:ascii="Times New Roman" w:hAnsi="Times New Roman" w:eastAsia="方正楷体_GBK" w:cs="Times New Roman"/>
                <w:sz w:val="16"/>
                <w:szCs w:val="22"/>
                <w:lang w:val="en-US" w:eastAsia="zh-CN" w:bidi="zh-CN"/>
              </w:rPr>
              <w:t>修正）</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第二十条  经营性户外广告设置空间的使用权通过公开招标、拍卖或者协议出让等公平竞争方式有偿取得。</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设置户外广告应当符合户外广告设置规划、城市容貌标准、设置技术规范的规定。</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设置户外广告应当依法办理许可手续；市、县级市城市管理行政主管部门办理户外广告设施设置许可时应当征求相关部门的意见。</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第二十一条第一款  设置户外广告设施的，户外广告设施的设置者应当定期进行日常维护和安全检查；对陈旧、残缺、锈蚀等影响市容的，应当予以修复。</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第二十四条第一款  经批准占用城市道路、广场及其附属设施设置临时充气拱门、移动灯箱（柱）、撑牌、气球、卡通造型、旗幡、布幔等户外广告设施的，应当按照规定设置。</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第六十六条  违反本条例关于户外广告设施设置规定的，按照下列规定予以处罚：</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一）违反本条例第二十条第二款、第三款规定，设置户外广告设施不符合规定，或者未经许可擅自设置户外广告设施的，由城市管理行政主管部门责令设置者限期改正或者拆除，可以处以一万元以上五万元以下罚款；拒不拆除的，由城市管理行政主管部门依法强制拆除或者申请人民法院强制拆除。</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二）违反本条例第二十一条第一款规定，未及时修复陈旧、残缺、锈蚀等影响市容的户外广告设施的，由城市管理行政主管部门责令限期修复；逾期不修复的，由城市管理行政主管部门责令限期拆除，处以一千元以上五千元以下罚款；逾期不拆除的，依法强制拆除或者申请人民法院强制拆除。</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第六十七条第一款  违反本条例第二十四条第一款规定，占用城市道路、广场及其附属设施设置临时充气拱门、移动灯箱（柱）、撑牌、气球、卡通造型、旗幡、布幔等户外广告设施不符合规定的，由城市管理综合行政执法部门责令限期改正，并处以五百元以上五千元以下罚款。</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【地方政府规章】《无锡市户外广告和店招标牌设施设置管理办法》</w:t>
            </w:r>
          </w:p>
          <w:p>
            <w:pPr>
              <w:keepNext w:val="0"/>
              <w:keepLines w:val="0"/>
              <w:pageBreakBefore w:val="0"/>
              <w:widowControl/>
              <w:suppressLineNumbers w:val="0"/>
              <w:kinsoku/>
              <w:wordWrap/>
              <w:overflowPunct/>
              <w:topLinePunct w:val="0"/>
              <w:autoSpaceDE w:val="0"/>
              <w:autoSpaceDN w:val="0"/>
              <w:bidi w:val="0"/>
              <w:adjustRightInd/>
              <w:snapToGrid/>
              <w:spacing w:line="204" w:lineRule="auto"/>
              <w:ind w:right="0" w:rightChars="0" w:firstLine="320" w:firstLineChars="200"/>
              <w:jc w:val="both"/>
              <w:textAlignment w:val="center"/>
              <w:rPr>
                <w:rFonts w:hint="eastAsia" w:ascii="方正楷体_GBK" w:hAnsi="方正楷体_GBK" w:eastAsia="方正楷体_GBK" w:cs="方正楷体_GBK"/>
                <w:sz w:val="16"/>
                <w:lang w:val="zh-CN" w:eastAsia="zh-CN"/>
              </w:rPr>
            </w:pPr>
            <w:r>
              <w:rPr>
                <w:rFonts w:hint="eastAsia" w:ascii="Times New Roman" w:hAnsi="Times New Roman" w:eastAsia="方正楷体_GBK" w:cs="Times New Roman"/>
                <w:sz w:val="16"/>
                <w:szCs w:val="22"/>
                <w:lang w:val="en-US" w:eastAsia="zh-CN" w:bidi="zh-CN"/>
              </w:rPr>
              <w:t>第四十九条  违反本办法第三十八条第五项规定，未按照规定对户外广告设施进行安全检测，或者安全检测不合格未立即整改的，由城市管理行政执法部门责令限期改正；逾期未改正的，责令限期拆除，处 5000元以上 20000 元以下罚款。</w:t>
            </w:r>
          </w:p>
        </w:tc>
        <w:tc>
          <w:tcPr>
            <w:tcW w:w="750" w:type="dxa"/>
            <w:tcMar>
              <w:top w:w="0" w:type="dxa"/>
              <w:left w:w="57" w:type="dxa"/>
              <w:bottom w:w="0" w:type="dxa"/>
              <w:right w:w="57" w:type="dxa"/>
            </w:tcMar>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20"/>
                <w:szCs w:val="20"/>
                <w:u w:val="none"/>
                <w:lang w:val="zh-CN" w:eastAsia="zh-CN" w:bidi="zh-CN"/>
              </w:rPr>
            </w:pPr>
            <w:r>
              <w:rPr>
                <w:rFonts w:hint="default" w:ascii="Times New Roman" w:hAnsi="Times New Roman" w:eastAsia="宋体" w:cs="Times New Roman"/>
                <w:i w:val="0"/>
                <w:color w:val="000000"/>
                <w:kern w:val="0"/>
                <w:sz w:val="16"/>
                <w:szCs w:val="16"/>
                <w:u w:val="none"/>
                <w:lang w:val="en-US" w:eastAsia="zh-CN" w:bidi="ar"/>
              </w:rPr>
              <w:t>★★</w:t>
            </w:r>
          </w:p>
        </w:tc>
        <w:tc>
          <w:tcPr>
            <w:tcW w:w="2631" w:type="dxa"/>
            <w:tcMar>
              <w:top w:w="0" w:type="dxa"/>
              <w:left w:w="57" w:type="dxa"/>
              <w:bottom w:w="0"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1.严格按照我市户外广告设施专项规划要求设置户外广告设施。</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2.设置户外广告设施的，应当向市城市管理行政主管部门提出申请，并提交下列材料：</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（一）设置申请表；</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（二）户外广告阵地使用权材料；</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（三）设置位置示意图及效果图；</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（四）安全承诺书；</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（五）涉及钢结构设施的，提供由相应资质的专业设计机构出具的户外广告设施设计图、施工说明书和施工结构图；</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（六）依法应当提交的其他材料。</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3.因自身商业宣传需要，设置充气装置、升空器具等临时性户外广告设施的，应当提前5个工作日向区审批部门提出申请，并提交下列材料：</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（一）设置申请书；</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（二）临时使用户外广告设置阵地的材料；</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（三）设置位置示意图和效果图；</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（四）安全承诺书；</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zh-CN" w:eastAsia="zh-CN" w:bidi="zh-CN"/>
              </w:rPr>
            </w:pPr>
            <w:r>
              <w:rPr>
                <w:rFonts w:hint="eastAsia" w:ascii="Times New Roman" w:hAnsi="Times New Roman" w:eastAsia="方正楷体_GBK" w:cs="Times New Roman"/>
                <w:sz w:val="16"/>
                <w:szCs w:val="22"/>
                <w:lang w:val="en-US" w:eastAsia="zh-CN" w:bidi="zh-CN"/>
              </w:rPr>
              <w:t>（五）依法应当提交的其他材料。</w:t>
            </w:r>
          </w:p>
        </w:tc>
        <w:tc>
          <w:tcPr>
            <w:tcW w:w="1117" w:type="dxa"/>
            <w:tcMar>
              <w:top w:w="0" w:type="dxa"/>
              <w:left w:w="57" w:type="dxa"/>
              <w:bottom w:w="0" w:type="dxa"/>
              <w:right w:w="57" w:type="dxa"/>
            </w:tcMar>
            <w:vAlign w:val="center"/>
          </w:tcPr>
          <w:p>
            <w:pPr>
              <w:keepNext w:val="0"/>
              <w:keepLines w:val="0"/>
              <w:widowControl/>
              <w:suppressLineNumbers w:val="0"/>
              <w:ind w:left="0" w:leftChars="0" w:right="0" w:rightChars="0"/>
              <w:jc w:val="center"/>
              <w:textAlignment w:val="center"/>
              <w:rPr>
                <w:rFonts w:hint="eastAsia" w:ascii="方正楷体_GBK" w:hAnsi="方正楷体_GBK" w:eastAsia="方正楷体_GBK" w:cs="方正楷体_GBK"/>
                <w:sz w:val="16"/>
                <w:szCs w:val="22"/>
                <w:lang w:val="zh-CN" w:eastAsia="zh-CN" w:bidi="zh-CN"/>
              </w:rPr>
            </w:pPr>
            <w:r>
              <w:rPr>
                <w:rFonts w:hint="eastAsia" w:ascii="方正楷体_GBK" w:hAnsi="方正楷体_GBK" w:eastAsia="方正楷体_GBK" w:cs="方正楷体_GBK"/>
                <w:sz w:val="16"/>
                <w:szCs w:val="22"/>
                <w:lang w:val="en-US" w:eastAsia="zh-CN" w:bidi="zh-CN"/>
              </w:rPr>
              <w:t>市审批中心窗口电话81825637</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区审批中心窗口电话85878762</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 xml:space="preserve">胡埭咨询85595475 </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马山咨询85993813</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 xml:space="preserve">雪浪咨询85957690  </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河埒咨询85862614</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荣巷咨询85510065</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蠡湖咨询66002852</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蠡园咨询85126590</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执法大队市容秩序中队85875359</w:t>
            </w:r>
          </w:p>
        </w:tc>
      </w:tr>
    </w:tbl>
    <w:p>
      <w:pPr>
        <w:keepNext w:val="0"/>
        <w:keepLines w:val="0"/>
        <w:widowControl/>
        <w:suppressLineNumbers w:val="0"/>
        <w:ind w:left="0" w:leftChars="0" w:right="0" w:rightChars="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5" w:hRule="atLeast"/>
        </w:trPr>
        <w:tc>
          <w:tcPr>
            <w:tcW w:w="653" w:type="dxa"/>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序号</w:t>
            </w:r>
          </w:p>
        </w:tc>
        <w:tc>
          <w:tcPr>
            <w:tcW w:w="1354" w:type="dxa"/>
            <w:tcMar>
              <w:top w:w="0" w:type="dxa"/>
              <w:left w:w="57" w:type="dxa"/>
              <w:bottom w:w="0"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合规事项</w:t>
            </w:r>
          </w:p>
        </w:tc>
        <w:tc>
          <w:tcPr>
            <w:tcW w:w="2180" w:type="dxa"/>
            <w:tcMar>
              <w:top w:w="0" w:type="dxa"/>
              <w:left w:w="57" w:type="dxa"/>
              <w:bottom w:w="0"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常见违法行为表现</w:t>
            </w:r>
          </w:p>
        </w:tc>
        <w:tc>
          <w:tcPr>
            <w:tcW w:w="5672" w:type="dxa"/>
            <w:tcMar>
              <w:top w:w="0" w:type="dxa"/>
              <w:left w:w="0" w:type="dxa"/>
              <w:bottom w:w="0" w:type="dxa"/>
              <w:right w:w="57" w:type="dxa"/>
            </w:tcMar>
            <w:vAlign w:val="top"/>
          </w:tcPr>
          <w:p>
            <w:pPr>
              <w:pStyle w:val="16"/>
              <w:spacing w:before="4"/>
              <w:rPr>
                <w:rFonts w:ascii="楷体"/>
                <w:sz w:val="14"/>
              </w:rPr>
            </w:pPr>
          </w:p>
          <w:p>
            <w:pPr>
              <w:pStyle w:val="16"/>
              <w:bidi w:val="0"/>
              <w:jc w:val="center"/>
              <w:rPr>
                <w:rFonts w:hint="default" w:ascii="黑体" w:hAnsi="宋体" w:eastAsia="黑体" w:cs="宋体"/>
                <w:b/>
                <w:szCs w:val="22"/>
                <w:lang w:val="en-US" w:eastAsia="zh-CN" w:bidi="zh-CN"/>
              </w:rPr>
            </w:pPr>
            <w:r>
              <w:rPr>
                <w:rFonts w:hint="eastAsia" w:ascii="黑体" w:hAnsi="黑体" w:eastAsia="黑体" w:cs="黑体"/>
                <w:b/>
                <w:bCs/>
              </w:rPr>
              <w:t>法律依据及违法责任</w:t>
            </w:r>
          </w:p>
        </w:tc>
        <w:tc>
          <w:tcPr>
            <w:tcW w:w="750" w:type="dxa"/>
            <w:vAlign w:val="top"/>
          </w:tcPr>
          <w:p>
            <w:pPr>
              <w:pStyle w:val="16"/>
              <w:bidi w:val="0"/>
              <w:jc w:val="center"/>
              <w:rPr>
                <w:rFonts w:hint="eastAsia" w:ascii="黑体" w:hAnsi="黑体" w:eastAsia="黑体" w:cs="黑体"/>
                <w:b/>
                <w:bCs/>
              </w:rPr>
            </w:pPr>
            <w:r>
              <w:rPr>
                <w:rFonts w:hint="eastAsia" w:ascii="黑体" w:hAnsi="黑体" w:eastAsia="黑体" w:cs="黑体"/>
                <w:b/>
                <w:bCs/>
              </w:rPr>
              <w:t>风险</w:t>
            </w:r>
          </w:p>
          <w:p>
            <w:pPr>
              <w:pStyle w:val="16"/>
              <w:bidi w:val="0"/>
              <w:jc w:val="center"/>
              <w:rPr>
                <w:rFonts w:hint="eastAsia" w:ascii="黑体" w:hAnsi="宋体" w:eastAsia="黑体" w:cs="宋体"/>
                <w:b/>
                <w:szCs w:val="22"/>
                <w:lang w:val="en-US" w:eastAsia="zh-CN" w:bidi="zh-CN"/>
              </w:rPr>
            </w:pPr>
            <w:r>
              <w:rPr>
                <w:rFonts w:hint="eastAsia" w:ascii="黑体" w:hAnsi="黑体" w:eastAsia="黑体" w:cs="黑体"/>
                <w:b/>
                <w:bCs/>
              </w:rPr>
              <w:t>等级</w:t>
            </w:r>
          </w:p>
        </w:tc>
        <w:tc>
          <w:tcPr>
            <w:tcW w:w="2631" w:type="dxa"/>
            <w:tcMar>
              <w:top w:w="0" w:type="dxa"/>
              <w:left w:w="57" w:type="dxa"/>
              <w:bottom w:w="0" w:type="dxa"/>
              <w:right w:w="57" w:type="dxa"/>
            </w:tcMar>
            <w:vAlign w:val="center"/>
          </w:tcPr>
          <w:p>
            <w:pPr>
              <w:pStyle w:val="16"/>
              <w:bidi w:val="0"/>
              <w:jc w:val="center"/>
              <w:rPr>
                <w:rFonts w:hint="default" w:ascii="黑体" w:hAnsi="宋体" w:eastAsia="黑体" w:cs="宋体"/>
                <w:b/>
                <w:szCs w:val="22"/>
                <w:lang w:val="en-US" w:eastAsia="zh-CN" w:bidi="zh-CN"/>
              </w:rPr>
            </w:pPr>
            <w:r>
              <w:rPr>
                <w:rFonts w:hint="eastAsia" w:ascii="黑体" w:hAnsi="黑体" w:eastAsia="黑体" w:cs="黑体"/>
                <w:b/>
                <w:bCs/>
              </w:rPr>
              <w:t>合规建议</w:t>
            </w:r>
          </w:p>
        </w:tc>
        <w:tc>
          <w:tcPr>
            <w:tcW w:w="1117" w:type="dxa"/>
            <w:tcMar>
              <w:top w:w="0" w:type="dxa"/>
              <w:left w:w="57" w:type="dxa"/>
              <w:bottom w:w="0" w:type="dxa"/>
              <w:right w:w="57" w:type="dxa"/>
            </w:tcMar>
            <w:vAlign w:val="top"/>
          </w:tcPr>
          <w:p>
            <w:pPr>
              <w:pStyle w:val="16"/>
              <w:bidi w:val="0"/>
              <w:jc w:val="center"/>
              <w:rPr>
                <w:rFonts w:hint="eastAsia" w:ascii="黑体" w:hAnsi="黑体" w:eastAsia="黑体" w:cs="黑体"/>
                <w:b/>
                <w:bCs/>
              </w:rPr>
            </w:pPr>
            <w:r>
              <w:rPr>
                <w:rFonts w:hint="eastAsia" w:ascii="黑体" w:hAnsi="黑体" w:eastAsia="黑体" w:cs="黑体"/>
                <w:b/>
                <w:bCs/>
              </w:rPr>
              <w:t>指导部门</w:t>
            </w:r>
          </w:p>
          <w:p>
            <w:pPr>
              <w:pStyle w:val="16"/>
              <w:bidi w:val="0"/>
              <w:jc w:val="center"/>
              <w:rPr>
                <w:rFonts w:hint="default" w:ascii="黑体" w:hAnsi="宋体" w:eastAsia="黑体" w:cs="宋体"/>
                <w:b/>
                <w:szCs w:val="22"/>
                <w:lang w:val="en-US" w:eastAsia="zh-CN" w:bidi="zh-CN"/>
              </w:rPr>
            </w:pPr>
            <w:r>
              <w:rPr>
                <w:rFonts w:hint="eastAsia" w:ascii="黑体" w:hAnsi="黑体" w:eastAsia="黑体" w:cs="黑体"/>
                <w:b/>
                <w:bCs/>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keepNext w:val="0"/>
              <w:keepLines w:val="0"/>
              <w:widowControl/>
              <w:suppressLineNumbers w:val="0"/>
              <w:ind w:left="0" w:leftChars="0" w:right="0" w:rightChars="0"/>
              <w:jc w:val="center"/>
              <w:textAlignment w:val="center"/>
              <w:rPr>
                <w:rFonts w:hint="eastAsia" w:ascii="宋体" w:hAnsi="宋体" w:eastAsia="宋体" w:cs="宋体"/>
                <w:i w:val="0"/>
                <w:color w:val="000000"/>
                <w:sz w:val="20"/>
                <w:szCs w:val="20"/>
                <w:u w:val="none"/>
                <w:lang w:val="en-US" w:eastAsia="zh-CN" w:bidi="zh-CN"/>
              </w:rPr>
            </w:pPr>
            <w:r>
              <w:rPr>
                <w:rFonts w:hint="default" w:ascii="Times New Roman" w:hAnsi="Times New Roman" w:eastAsia="宋体" w:cs="Times New Roman"/>
                <w:i w:val="0"/>
                <w:color w:val="000000"/>
                <w:kern w:val="0"/>
                <w:sz w:val="16"/>
                <w:szCs w:val="16"/>
                <w:u w:val="none"/>
                <w:lang w:val="en-US" w:eastAsia="zh-CN" w:bidi="ar"/>
              </w:rPr>
              <w:t>4</w:t>
            </w:r>
          </w:p>
        </w:tc>
        <w:tc>
          <w:tcPr>
            <w:tcW w:w="1354" w:type="dxa"/>
            <w:tcMar>
              <w:top w:w="0" w:type="dxa"/>
              <w:left w:w="57" w:type="dxa"/>
              <w:bottom w:w="0" w:type="dxa"/>
              <w:right w:w="57" w:type="dxa"/>
            </w:tcMar>
            <w:vAlign w:val="center"/>
          </w:tcPr>
          <w:p>
            <w:pPr>
              <w:keepNext w:val="0"/>
              <w:keepLines w:val="0"/>
              <w:widowControl/>
              <w:suppressLineNumbers w:val="0"/>
              <w:ind w:left="0" w:leftChars="0" w:right="0" w:rightChars="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对产生的餐厨垃圾，应当按照要求处理</w:t>
            </w:r>
          </w:p>
        </w:tc>
        <w:tc>
          <w:tcPr>
            <w:tcW w:w="2180" w:type="dxa"/>
            <w:tcMar>
              <w:top w:w="0" w:type="dxa"/>
              <w:left w:w="57" w:type="dxa"/>
              <w:bottom w:w="0"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1.未将餐厨垃圾与非餐厨垃圾分开收集存放；</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2.将餐厨垃圾提供给不具有经营性收集、运输、处置服务许可证的单位收集、运输、处置；</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3.将餐厨废弃物裸露存放；</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4.将餐厨废弃物故意混入其他生活废弃物或者将其他物体故意混入餐厨废弃物； </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5.将餐厨废弃物排入雨水管道、污水管道、河道、湖泊、沟渠和公共厕所等。</w:t>
            </w:r>
          </w:p>
        </w:tc>
        <w:tc>
          <w:tcPr>
            <w:tcW w:w="5672" w:type="dxa"/>
            <w:tcMar>
              <w:top w:w="57" w:type="dxa"/>
              <w:left w:w="57" w:type="dxa"/>
              <w:bottom w:w="57" w:type="dxa"/>
              <w:right w:w="57" w:type="dxa"/>
            </w:tcMar>
            <w:vAlign w:val="center"/>
          </w:tcPr>
          <w:p>
            <w:pPr>
              <w:pStyle w:val="16"/>
              <w:spacing w:line="240" w:lineRule="auto"/>
              <w:ind w:left="106"/>
              <w:jc w:val="both"/>
              <w:rPr>
                <w:rFonts w:hint="default"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【地方政府规章】</w:t>
            </w:r>
            <w:r>
              <w:rPr>
                <w:rFonts w:hint="default" w:ascii="Times New Roman" w:hAnsi="Times New Roman" w:eastAsia="方正楷体_GBK" w:cs="Times New Roman"/>
                <w:sz w:val="16"/>
                <w:szCs w:val="22"/>
                <w:lang w:val="en-US" w:eastAsia="zh-CN" w:bidi="zh-CN"/>
              </w:rPr>
              <w:t>《江苏省餐厨废弃物管理办法》（2022修订）</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第十八条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餐厨废弃物产生单位应当遵守下列规定：</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（二）将餐厨废弃物与非餐厨废弃物分类收集、单独存放， 并按照环境保护的有关规定，设置油水分离器或者隔油池等污染防治设施；</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（四）在餐厨废弃物产生后24小时内将餐厨废弃物交给与其签订协议的餐厨废弃物收集、运输服务企业；</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第四十一条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 xml:space="preserve"> 餐厨废弃物产生单位有下列行为之一的，由县级以上地方人民政府市容环境卫生主管部门责令限期改正，并处5000元以上30000元以下罚款：</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（二）未将餐厨废弃物与非餐厨废弃物分类存放；</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（四）将餐厨废弃物交给不符合本办法规定的单位或者个人收集、运输、处置。</w:t>
            </w:r>
            <w:r>
              <w:rPr>
                <w:rFonts w:hint="default"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【地方政府规章】</w:t>
            </w:r>
            <w:r>
              <w:rPr>
                <w:rFonts w:hint="default" w:ascii="Times New Roman" w:hAnsi="Times New Roman" w:eastAsia="方正楷体_GBK" w:cs="Times New Roman"/>
                <w:sz w:val="16"/>
                <w:szCs w:val="22"/>
                <w:lang w:val="en-US" w:eastAsia="zh-CN" w:bidi="zh-CN"/>
              </w:rPr>
              <w:t>《无锡市餐厨废弃物管理办法》</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第三十五条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违反本办法规定，餐厨废弃物产生单位有下列情形之一的，由城市管理行政主管部门责令限期改正，并处5000元以上30000元以下的罚款：</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（一）未使用符合标准的收集容器存放餐厨废弃物的；</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（二）将餐厨废弃物裸露存放的；</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（三）将餐厨废弃物故意混入其他生活废弃物或者将其他物体故意混入餐厨废弃物的；</w:t>
            </w:r>
          </w:p>
          <w:p>
            <w:pPr>
              <w:pStyle w:val="16"/>
              <w:spacing w:line="240" w:lineRule="auto"/>
              <w:ind w:left="106" w:firstLine="320" w:firstLineChars="200"/>
              <w:jc w:val="both"/>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（四）将餐厨废弃物排入雨水管道、污水管道、沟渠和公共厕所的；</w:t>
            </w:r>
          </w:p>
          <w:p>
            <w:pPr>
              <w:pStyle w:val="16"/>
              <w:spacing w:line="240" w:lineRule="auto"/>
              <w:ind w:left="106" w:firstLine="320" w:firstLineChars="200"/>
              <w:jc w:val="both"/>
              <w:rPr>
                <w:rFonts w:hint="default" w:ascii="Times New Roman" w:hAnsi="Times New Roman" w:eastAsia="方正楷体_GBK" w:cs="Times New Roman"/>
                <w:sz w:val="16"/>
                <w:lang w:val="en-US" w:eastAsia="zh-CN"/>
              </w:rPr>
            </w:pPr>
            <w:r>
              <w:rPr>
                <w:rFonts w:hint="default" w:ascii="Times New Roman" w:hAnsi="Times New Roman" w:eastAsia="方正楷体_GBK" w:cs="Times New Roman"/>
                <w:sz w:val="16"/>
                <w:szCs w:val="22"/>
                <w:lang w:val="en-US" w:eastAsia="zh-CN" w:bidi="zh-CN"/>
              </w:rPr>
              <w:t>（五）将餐厨废弃物交由不符合本办法规定的单位或者个人收集、运输、处置的。</w:t>
            </w:r>
          </w:p>
        </w:tc>
        <w:tc>
          <w:tcPr>
            <w:tcW w:w="750" w:type="dxa"/>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i w:val="0"/>
                <w:color w:val="000000"/>
                <w:sz w:val="20"/>
                <w:szCs w:val="20"/>
                <w:u w:val="none"/>
                <w:lang w:val="en-US" w:eastAsia="zh-CN" w:bidi="zh-CN"/>
              </w:rPr>
            </w:pPr>
            <w:r>
              <w:rPr>
                <w:rFonts w:hint="default" w:ascii="Times New Roman" w:hAnsi="Times New Roman" w:cs="Times New Roman" w:eastAsiaTheme="minorEastAsia"/>
                <w:i w:val="0"/>
                <w:color w:val="000000"/>
                <w:kern w:val="0"/>
                <w:sz w:val="16"/>
                <w:szCs w:val="16"/>
                <w:u w:val="none"/>
                <w:lang w:val="en-US" w:eastAsia="zh-CN" w:bidi="ar"/>
              </w:rPr>
              <w:t>★★</w:t>
            </w:r>
          </w:p>
        </w:tc>
        <w:tc>
          <w:tcPr>
            <w:tcW w:w="2631" w:type="dxa"/>
            <w:tcMar>
              <w:top w:w="0" w:type="dxa"/>
              <w:left w:w="57" w:type="dxa"/>
              <w:bottom w:w="0"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1.将餐厨废弃物与非餐厨废弃物分类收集、单独存放</w:t>
            </w:r>
            <w:r>
              <w:rPr>
                <w:rFonts w:hint="eastAsia" w:ascii="Times New Roman" w:hAnsi="Times New Roman" w:eastAsia="方正楷体_GBK" w:cs="Times New Roman"/>
                <w:sz w:val="16"/>
                <w:szCs w:val="22"/>
                <w:lang w:val="en-US" w:eastAsia="zh-CN" w:bidi="zh-CN"/>
              </w:rPr>
              <w:t>。</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2.不得随意倾倒、堆放餐厨垃圾，不得将餐厨垃圾排入公共排水设施、河道、公共厕所和生活垃圾收集设施中</w:t>
            </w:r>
            <w:r>
              <w:rPr>
                <w:rFonts w:hint="eastAsia" w:ascii="Times New Roman" w:hAnsi="Times New Roman" w:eastAsia="方正楷体_GBK" w:cs="Times New Roman"/>
                <w:sz w:val="16"/>
                <w:szCs w:val="22"/>
                <w:lang w:val="en-US" w:eastAsia="zh-CN" w:bidi="zh-CN"/>
              </w:rPr>
              <w:t>。</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3.在餐厨废弃物产生后 24 小时内将餐厨废弃物交给与其签订协议的餐厨废弃物收集、运输服务企业。</w:t>
            </w:r>
          </w:p>
        </w:tc>
        <w:tc>
          <w:tcPr>
            <w:tcW w:w="1117" w:type="dxa"/>
            <w:tcMar>
              <w:top w:w="0" w:type="dxa"/>
              <w:left w:w="57" w:type="dxa"/>
              <w:bottom w:w="0" w:type="dxa"/>
              <w:right w:w="57" w:type="dxa"/>
            </w:tcMar>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环卫科81178421</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执法大队市容秩序中队85875359</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spacing w:before="93"/>
        <w:ind w:right="4255"/>
        <w:jc w:val="both"/>
        <w:rPr>
          <w:rFonts w:ascii="Times New Roman"/>
          <w:sz w:val="18"/>
        </w:rPr>
      </w:pPr>
    </w:p>
    <w:p>
      <w:pPr>
        <w:spacing w:before="93"/>
        <w:ind w:right="4255"/>
        <w:jc w:val="both"/>
        <w:rPr>
          <w:rFonts w:ascii="Times New Roman"/>
          <w:sz w:val="18"/>
        </w:rPr>
      </w:pPr>
    </w:p>
    <w:p>
      <w:pPr>
        <w:spacing w:before="93"/>
        <w:ind w:right="4255"/>
        <w:jc w:val="both"/>
        <w:rPr>
          <w:rFonts w:ascii="Times New Roman"/>
          <w:sz w:val="18"/>
        </w:rPr>
      </w:pPr>
    </w:p>
    <w:p>
      <w:pPr>
        <w:spacing w:before="93"/>
        <w:ind w:right="4255"/>
        <w:jc w:val="both"/>
        <w:rPr>
          <w:rFonts w:ascii="Times New Roman"/>
          <w:sz w:val="18"/>
        </w:rPr>
      </w:pPr>
    </w:p>
    <w:p>
      <w:pPr>
        <w:rPr>
          <w:rFonts w:hint="eastAsia" w:ascii="楷体" w:eastAsia="楷体"/>
          <w:sz w:val="28"/>
          <w:lang w:val="en-US" w:eastAsia="zh-CN"/>
        </w:rPr>
      </w:pPr>
      <w:r>
        <w:rPr>
          <w:rFonts w:hint="eastAsia" w:ascii="楷体" w:eastAsia="楷体"/>
          <w:sz w:val="28"/>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适用于建筑垃圾处置单位：</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422" w:hRule="atLeast"/>
        </w:trPr>
        <w:tc>
          <w:tcPr>
            <w:tcW w:w="653" w:type="dxa"/>
            <w:tcMar>
              <w:top w:w="57" w:type="dxa"/>
              <w:left w:w="57" w:type="dxa"/>
              <w:bottom w:w="57" w:type="dxa"/>
              <w:right w:w="57" w:type="dxa"/>
            </w:tcMar>
            <w:vAlign w:val="center"/>
          </w:tcPr>
          <w:p>
            <w:pPr>
              <w:pStyle w:val="16"/>
              <w:spacing w:before="1"/>
              <w:ind w:left="104" w:leftChars="0" w:right="87" w:rightChars="0"/>
              <w:jc w:val="center"/>
              <w:rPr>
                <w:rFonts w:hint="eastAsia" w:ascii="方正楷体_GBK" w:hAnsi="方正楷体_GBK" w:eastAsia="方正楷体_GBK" w:cs="方正楷体_GBK"/>
                <w:sz w:val="16"/>
                <w:szCs w:val="22"/>
                <w:lang w:val="en-US" w:eastAsia="zh-CN" w:bidi="zh-CN"/>
              </w:rPr>
            </w:pPr>
            <w:r>
              <w:rPr>
                <w:rFonts w:hint="default" w:ascii="Times New Roman" w:hAnsi="Times New Roman" w:eastAsia="方正楷体_GBK" w:cs="Times New Roman"/>
                <w:sz w:val="16"/>
                <w:szCs w:val="16"/>
                <w:lang w:val="en-US" w:eastAsia="zh-CN" w:bidi="zh-CN"/>
              </w:rPr>
              <w:t>1</w:t>
            </w:r>
          </w:p>
        </w:tc>
        <w:tc>
          <w:tcPr>
            <w:tcW w:w="1354" w:type="dxa"/>
            <w:tcMar>
              <w:top w:w="57" w:type="dxa"/>
              <w:left w:w="57" w:type="dxa"/>
              <w:bottom w:w="57" w:type="dxa"/>
              <w:right w:w="57" w:type="dxa"/>
            </w:tcMar>
            <w:vAlign w:val="center"/>
          </w:tcPr>
          <w:p>
            <w:pPr>
              <w:keepNext w:val="0"/>
              <w:keepLines w:val="0"/>
              <w:widowControl/>
              <w:suppressLineNumbers w:val="0"/>
              <w:ind w:left="0" w:leftChars="0" w:right="0" w:rightChars="0"/>
              <w:jc w:val="both"/>
              <w:textAlignment w:val="center"/>
              <w:rPr>
                <w:rFonts w:hint="eastAsia" w:ascii="方正楷体_GBK" w:hAnsi="方正楷体_GBK" w:eastAsia="方正楷体_GBK" w:cs="方正楷体_GBK"/>
                <w:sz w:val="16"/>
                <w:szCs w:val="22"/>
                <w:lang w:val="zh-CN" w:eastAsia="zh-CN" w:bidi="zh-CN"/>
              </w:rPr>
            </w:pPr>
            <w:r>
              <w:rPr>
                <w:rFonts w:hint="eastAsia" w:ascii="Times New Roman" w:hAnsi="Times New Roman" w:eastAsia="方正楷体_GBK" w:cs="Times New Roman"/>
                <w:sz w:val="16"/>
                <w:szCs w:val="22"/>
                <w:lang w:val="en-US" w:eastAsia="zh-CN" w:bidi="zh-CN"/>
              </w:rPr>
              <w:t>建筑垃圾处置应向环境卫生主管部门申请</w:t>
            </w:r>
          </w:p>
        </w:tc>
        <w:tc>
          <w:tcPr>
            <w:tcW w:w="2180" w:type="dxa"/>
            <w:tcMar>
              <w:top w:w="57" w:type="dxa"/>
              <w:left w:w="57" w:type="dxa"/>
              <w:bottom w:w="57"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1.未经核准进行处置；</w:t>
            </w:r>
          </w:p>
          <w:p>
            <w:pPr>
              <w:keepNext w:val="0"/>
              <w:keepLines w:val="0"/>
              <w:widowControl/>
              <w:suppressLineNumbers w:val="0"/>
              <w:ind w:left="0" w:leftChars="0" w:right="0" w:rightChars="0" w:firstLine="320" w:firstLineChars="200"/>
              <w:jc w:val="both"/>
              <w:textAlignment w:val="center"/>
              <w:rPr>
                <w:rFonts w:hint="eastAsia" w:ascii="方正楷体_GBK" w:hAnsi="方正楷体_GBK" w:eastAsia="方正楷体_GBK" w:cs="方正楷体_GBK"/>
                <w:sz w:val="16"/>
                <w:szCs w:val="22"/>
                <w:lang w:val="zh-CN" w:eastAsia="zh-CN" w:bidi="zh-CN"/>
              </w:rPr>
            </w:pPr>
            <w:r>
              <w:rPr>
                <w:rFonts w:hint="eastAsia" w:ascii="Times New Roman" w:hAnsi="Times New Roman" w:eastAsia="方正楷体_GBK" w:cs="Times New Roman"/>
                <w:sz w:val="16"/>
                <w:szCs w:val="22"/>
                <w:lang w:val="en-US" w:eastAsia="zh-CN" w:bidi="zh-CN"/>
              </w:rPr>
              <w:t>2.超出核准范围进行处置。</w:t>
            </w:r>
          </w:p>
        </w:tc>
        <w:tc>
          <w:tcPr>
            <w:tcW w:w="567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【部门规章】《城市建筑垃圾管理规定》</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 xml:space="preserve">第七条第一款 </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处置建筑垃圾的单位，应当向城市人民政府市容环境卫生主管部门提出申请，获得城市建筑垃圾处置核准后，方可处置。</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 xml:space="preserve">第十三条 </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施工单位不得将建筑垃圾交给个人或者未经核准从事建筑垃圾运输的单位运输。</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第二十二条</w:t>
            </w:r>
            <w:r>
              <w:rPr>
                <w:rFonts w:hint="eastAsia" w:ascii="Times New Roman" w:hAnsi="Times New Roman" w:eastAsia="方正楷体_GBK" w:cs="Times New Roman"/>
                <w:sz w:val="16"/>
                <w:szCs w:val="16"/>
                <w:lang w:val="en-US" w:eastAsia="zh-CN"/>
              </w:rPr>
              <w:t>第二款</w:t>
            </w:r>
            <w:r>
              <w:rPr>
                <w:rFonts w:hint="default" w:ascii="Times New Roman" w:hAnsi="Times New Roman" w:eastAsia="方正楷体_GBK" w:cs="Times New Roman"/>
                <w:sz w:val="16"/>
                <w:szCs w:val="16"/>
                <w:lang w:val="en-US" w:eastAsia="zh-CN"/>
              </w:rPr>
              <w:t xml:space="preserve"> </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施工单位将建筑垃圾交给个人或者未经核准从事建筑垃圾运输的单位处置的，由城市人民政府市容环境卫生主管部门责令限期改正，给予警告，处1万元以上10万元以下罚款。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 xml:space="preserve">第二十五条 </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违反本规定，有下列情形之一的，由城市人民政府市容环境卫生主管部门责令限期改正，给予警告，对施工单位处 1万元以上10万元以下罚款，对建设单位、运输建筑垃圾的单位处5000元以上3万元以下罚款：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（一）未经核准擅自处置建筑垃圾的；</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（二）处置超出核准范围的建筑垃圾的。</w:t>
            </w:r>
            <w:r>
              <w:rPr>
                <w:rFonts w:hint="default" w:ascii="Times New Roman" w:hAnsi="Times New Roman" w:eastAsia="方正楷体_GBK" w:cs="Times New Roman"/>
                <w:sz w:val="16"/>
                <w:szCs w:val="16"/>
                <w:lang w:val="en-US" w:eastAsia="zh-CN"/>
              </w:rPr>
              <w:br w:type="textWrapping"/>
            </w:r>
            <w:r>
              <w:rPr>
                <w:rFonts w:hint="eastAsia" w:ascii="Times New Roman" w:hAnsi="Times New Roman" w:eastAsia="方正楷体_GBK" w:cs="Times New Roman"/>
                <w:sz w:val="16"/>
                <w:szCs w:val="16"/>
                <w:lang w:val="en-US" w:eastAsia="zh-CN"/>
              </w:rPr>
              <w:t>【地方性法规】</w:t>
            </w:r>
            <w:r>
              <w:rPr>
                <w:rFonts w:hint="default" w:ascii="Times New Roman" w:hAnsi="Times New Roman" w:eastAsia="方正楷体_GBK" w:cs="Times New Roman"/>
                <w:sz w:val="16"/>
                <w:szCs w:val="16"/>
                <w:lang w:val="en-US" w:eastAsia="zh-CN"/>
              </w:rPr>
              <w:t>《无锡市市容和环境卫生管理条例》</w:t>
            </w:r>
            <w:r>
              <w:rPr>
                <w:rFonts w:hint="eastAsia" w:ascii="Times New Roman" w:hAnsi="Times New Roman" w:eastAsia="方正楷体_GBK" w:cs="Times New Roman"/>
                <w:sz w:val="16"/>
                <w:szCs w:val="16"/>
                <w:lang w:val="en-US" w:eastAsia="zh-CN"/>
              </w:rPr>
              <w:t>（2019修正）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第三十六条</w:t>
            </w:r>
            <w:r>
              <w:rPr>
                <w:rFonts w:hint="eastAsia" w:ascii="Times New Roman" w:hAnsi="Times New Roman" w:eastAsia="方正楷体_GBK" w:cs="Times New Roman"/>
                <w:sz w:val="16"/>
                <w:szCs w:val="16"/>
                <w:lang w:val="en-US" w:eastAsia="zh-CN"/>
              </w:rPr>
              <w:t xml:space="preserve">第一款 </w:t>
            </w:r>
            <w:r>
              <w:rPr>
                <w:rFonts w:hint="default" w:ascii="Times New Roman" w:hAnsi="Times New Roman" w:eastAsia="方正楷体_GBK" w:cs="Times New Roman"/>
                <w:sz w:val="16"/>
                <w:szCs w:val="16"/>
                <w:lang w:val="en-US" w:eastAsia="zh-CN"/>
              </w:rPr>
              <w:t xml:space="preserve"> 建设工程开工前</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建设单位应当向市、县级市城市管理行政主管部门申报建筑垃圾、工程渣土、工程泥浆产生量和处置方案，取得处置许可。未经许可的，不得擅自处置。</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第七十一条</w:t>
            </w:r>
            <w:r>
              <w:rPr>
                <w:rFonts w:hint="eastAsia" w:ascii="Times New Roman" w:hAnsi="Times New Roman" w:eastAsia="方正楷体_GBK" w:cs="Times New Roman"/>
                <w:sz w:val="16"/>
                <w:szCs w:val="16"/>
                <w:lang w:val="en-US" w:eastAsia="zh-CN"/>
              </w:rPr>
              <w:t>第一项</w:t>
            </w:r>
            <w:r>
              <w:rPr>
                <w:rFonts w:hint="default" w:ascii="Times New Roman" w:hAnsi="Times New Roman" w:eastAsia="方正楷体_GBK" w:cs="Times New Roman"/>
                <w:sz w:val="16"/>
                <w:szCs w:val="16"/>
                <w:lang w:val="en-US" w:eastAsia="zh-CN"/>
              </w:rPr>
              <w:t xml:space="preserve"> </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违反本条例关于建设工地管理规定的，由城市管理综合行政执法部门按照下列规定予以处罚：</w:t>
            </w:r>
          </w:p>
          <w:p>
            <w:pPr>
              <w:pStyle w:val="16"/>
              <w:bidi w:val="0"/>
              <w:spacing w:line="240" w:lineRule="auto"/>
              <w:ind w:firstLine="320" w:firstLineChars="200"/>
              <w:jc w:val="both"/>
              <w:rPr>
                <w:rFonts w:hint="eastAsia" w:ascii="方正楷体_GBK" w:hAnsi="方正楷体_GBK" w:eastAsia="方正楷体_GBK" w:cs="方正楷体_GBK"/>
                <w:szCs w:val="22"/>
                <w:lang w:val="zh-CN" w:eastAsia="zh-CN" w:bidi="zh-CN"/>
              </w:rPr>
            </w:pPr>
            <w:r>
              <w:rPr>
                <w:rFonts w:hint="default" w:ascii="Times New Roman" w:hAnsi="Times New Roman" w:eastAsia="方正楷体_GBK" w:cs="Times New Roman"/>
                <w:sz w:val="16"/>
                <w:szCs w:val="16"/>
                <w:lang w:val="en-US" w:eastAsia="zh-CN"/>
              </w:rPr>
              <w:t>（一）违反本条例第三十六条第一款规定，未经许可处置建筑垃圾、工程渣土、工程泥浆的，责令限期改正，给予警告，对施工单位处以一万元以上十万元以下罚款，对建设单位、运输单位处以五千元以上三万元以下罚款。</w:t>
            </w:r>
          </w:p>
        </w:tc>
        <w:tc>
          <w:tcPr>
            <w:tcW w:w="750" w:type="dxa"/>
            <w:tcMar>
              <w:top w:w="57" w:type="dxa"/>
              <w:left w:w="57" w:type="dxa"/>
              <w:bottom w:w="57" w:type="dxa"/>
              <w:right w:w="57" w:type="dxa"/>
            </w:tcMar>
            <w:vAlign w:val="center"/>
          </w:tcPr>
          <w:p>
            <w:pPr>
              <w:keepNext w:val="0"/>
              <w:keepLines w:val="0"/>
              <w:widowControl/>
              <w:suppressLineNumbers w:val="0"/>
              <w:ind w:left="0" w:leftChars="0" w:right="0" w:rightChars="0"/>
              <w:jc w:val="center"/>
              <w:textAlignment w:val="center"/>
              <w:rPr>
                <w:rFonts w:hint="eastAsia" w:ascii="方正楷体_GBK" w:hAnsi="方正楷体_GBK" w:eastAsia="方正楷体_GBK" w:cs="方正楷体_GBK"/>
                <w:sz w:val="16"/>
                <w:szCs w:val="22"/>
                <w:lang w:val="zh-CN" w:eastAsia="zh-CN" w:bidi="zh-CN"/>
              </w:rPr>
            </w:pPr>
            <w:r>
              <w:rPr>
                <w:rFonts w:hint="default" w:ascii="Times New Roman" w:hAnsi="Times New Roman" w:cs="Times New Roman" w:eastAsiaTheme="minorEastAsia"/>
                <w:sz w:val="16"/>
                <w:szCs w:val="22"/>
                <w:lang w:val="en-US" w:eastAsia="zh-CN" w:bidi="zh-CN"/>
              </w:rPr>
              <w:t>★★★</w:t>
            </w:r>
          </w:p>
        </w:tc>
        <w:tc>
          <w:tcPr>
            <w:tcW w:w="2631" w:type="dxa"/>
            <w:tcMar>
              <w:top w:w="57" w:type="dxa"/>
              <w:left w:w="57" w:type="dxa"/>
              <w:bottom w:w="57"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1.建筑垃圾处置单位，必须向城管部门提出申请，获得城市建筑垃圾处置核准后方可处置建筑垃圾。</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2.申请材料目录：</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（一）建设单位或施工单位与运输企业签订的合同；</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（二）建设工程规划许可证、施工图设计文件审查合格书、工程量清单等可以确定工程面积及土石方弃置量的证明材料；</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（三）委托代理人办理，法人授权委托书；</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（四）营业执照或者机关、事业单位统一社会信用代码证；</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（五）建筑垃圾处置方案；</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（六）建筑垃圾规范处置承诺书；</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（七）建筑垃圾处置核准申请表；</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（八）建筑垃圾消纳场接收证明或协议（合同）。</w:t>
            </w:r>
          </w:p>
          <w:p>
            <w:pPr>
              <w:keepNext w:val="0"/>
              <w:keepLines w:val="0"/>
              <w:widowControl/>
              <w:suppressLineNumbers w:val="0"/>
              <w:ind w:left="0" w:leftChars="0" w:right="0" w:rightChars="0" w:firstLine="320" w:firstLineChars="200"/>
              <w:jc w:val="both"/>
              <w:textAlignment w:val="center"/>
              <w:rPr>
                <w:rFonts w:hint="eastAsia" w:ascii="方正楷体_GBK" w:hAnsi="方正楷体_GBK" w:eastAsia="方正楷体_GBK" w:cs="方正楷体_GBK"/>
                <w:sz w:val="16"/>
                <w:szCs w:val="22"/>
                <w:lang w:val="zh-CN" w:eastAsia="zh-CN" w:bidi="zh-CN"/>
              </w:rPr>
            </w:pPr>
            <w:r>
              <w:rPr>
                <w:rFonts w:hint="eastAsia" w:ascii="Times New Roman" w:hAnsi="Times New Roman" w:eastAsia="方正楷体_GBK" w:cs="Times New Roman"/>
                <w:sz w:val="16"/>
                <w:szCs w:val="22"/>
                <w:lang w:val="en-US" w:eastAsia="zh-CN" w:bidi="zh-CN"/>
              </w:rPr>
              <w:t>3.建筑垃圾处置单位，必须在建筑垃圾处置核准范围内处置建筑垃圾。</w:t>
            </w:r>
          </w:p>
        </w:tc>
        <w:tc>
          <w:tcPr>
            <w:tcW w:w="1117" w:type="dxa"/>
            <w:tcMar>
              <w:top w:w="57" w:type="dxa"/>
              <w:left w:w="57" w:type="dxa"/>
              <w:bottom w:w="57" w:type="dxa"/>
              <w:right w:w="57" w:type="dxa"/>
            </w:tcMar>
            <w:vAlign w:val="center"/>
          </w:tcPr>
          <w:p>
            <w:pPr>
              <w:keepNext w:val="0"/>
              <w:keepLines w:val="0"/>
              <w:widowControl/>
              <w:suppressLineNumbers w:val="0"/>
              <w:ind w:left="0" w:leftChars="0" w:right="0" w:rightChars="0"/>
              <w:jc w:val="center"/>
              <w:textAlignment w:val="center"/>
              <w:rPr>
                <w:rFonts w:hint="eastAsia" w:ascii="方正楷体_GBK" w:hAnsi="方正楷体_GBK" w:eastAsia="方正楷体_GBK" w:cs="方正楷体_GBK"/>
                <w:sz w:val="16"/>
                <w:szCs w:val="22"/>
                <w:lang w:val="en-US" w:eastAsia="zh-CN" w:bidi="zh-CN"/>
              </w:rPr>
            </w:pPr>
            <w:r>
              <w:rPr>
                <w:rFonts w:hint="eastAsia" w:ascii="方正楷体_GBK" w:hAnsi="方正楷体_GBK" w:eastAsia="方正楷体_GBK" w:cs="方正楷体_GBK"/>
                <w:sz w:val="16"/>
                <w:szCs w:val="22"/>
                <w:lang w:val="en-US" w:eastAsia="zh-CN" w:bidi="zh-CN"/>
              </w:rPr>
              <w:t>环卫科81178421</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执法大队机动中队</w:t>
            </w:r>
          </w:p>
          <w:p>
            <w:pPr>
              <w:keepNext w:val="0"/>
              <w:keepLines w:val="0"/>
              <w:widowControl/>
              <w:suppressLineNumbers w:val="0"/>
              <w:ind w:left="0" w:leftChars="0" w:right="0" w:rightChars="0"/>
              <w:jc w:val="center"/>
              <w:textAlignment w:val="center"/>
              <w:rPr>
                <w:rFonts w:hint="eastAsia" w:ascii="方正楷体_GBK" w:hAnsi="方正楷体_GBK" w:eastAsia="方正楷体_GBK" w:cs="方正楷体_GBK"/>
                <w:sz w:val="16"/>
                <w:szCs w:val="22"/>
                <w:lang w:val="zh-CN" w:eastAsia="zh-CN" w:bidi="zh-CN"/>
              </w:rPr>
            </w:pPr>
            <w:r>
              <w:rPr>
                <w:rFonts w:hint="eastAsia" w:ascii="方正楷体_GBK" w:hAnsi="方正楷体_GBK" w:eastAsia="方正楷体_GBK" w:cs="方正楷体_GBK"/>
                <w:sz w:val="16"/>
                <w:szCs w:val="22"/>
                <w:lang w:val="en-US" w:eastAsia="zh-CN" w:bidi="zh-CN"/>
              </w:rPr>
              <w:t>85878032</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马山咨询85991495</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雪浪咨询85187773</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胡埭咨询85595475</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蠡园咨询85126659</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河埒咨询85880216</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荣巷咨询85800801</w:t>
            </w:r>
            <w:r>
              <w:rPr>
                <w:rFonts w:hint="eastAsia" w:ascii="方正楷体_GBK" w:hAnsi="方正楷体_GBK" w:eastAsia="方正楷体_GBK" w:cs="方正楷体_GBK"/>
                <w:sz w:val="16"/>
                <w:szCs w:val="22"/>
                <w:lang w:val="en-US" w:eastAsia="zh-CN" w:bidi="zh-CN"/>
              </w:rPr>
              <w:br w:type="textWrapping"/>
            </w:r>
            <w:r>
              <w:rPr>
                <w:rFonts w:hint="eastAsia" w:ascii="方正楷体_GBK" w:hAnsi="方正楷体_GBK" w:eastAsia="方正楷体_GBK" w:cs="方正楷体_GBK"/>
                <w:sz w:val="16"/>
                <w:szCs w:val="22"/>
                <w:lang w:val="en-US" w:eastAsia="zh-CN" w:bidi="zh-CN"/>
              </w:rPr>
              <w:t>蠡湖咨询85117920</w:t>
            </w:r>
          </w:p>
        </w:tc>
      </w:tr>
    </w:tbl>
    <w:p>
      <w:pPr>
        <w:pStyle w:val="16"/>
        <w:spacing w:before="4"/>
        <w:rPr>
          <w:rFonts w:ascii="楷体"/>
          <w:sz w:val="14"/>
        </w:rPr>
      </w:pPr>
      <w:r>
        <w:rPr>
          <w:rFonts w:ascii="楷体"/>
          <w:sz w:val="14"/>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53" w:hRule="atLeast"/>
        </w:trPr>
        <w:tc>
          <w:tcPr>
            <w:tcW w:w="653" w:type="dxa"/>
            <w:vAlign w:val="center"/>
          </w:tcPr>
          <w:p>
            <w:pPr>
              <w:pStyle w:val="16"/>
              <w:spacing w:before="1"/>
              <w:ind w:left="104" w:leftChars="0" w:right="87" w:rightChars="0"/>
              <w:jc w:val="center"/>
              <w:rPr>
                <w:rFonts w:hint="default" w:ascii="方正楷体_GBK" w:hAnsi="方正楷体_GBK" w:eastAsia="方正楷体_GBK" w:cs="方正楷体_GBK"/>
                <w:sz w:val="16"/>
                <w:szCs w:val="22"/>
                <w:lang w:val="en-US" w:eastAsia="zh-CN" w:bidi="zh-CN"/>
              </w:rPr>
            </w:pPr>
            <w:r>
              <w:rPr>
                <w:rFonts w:hint="default" w:ascii="Times New Roman" w:hAnsi="Times New Roman" w:eastAsia="方正楷体_GBK" w:cs="Times New Roman"/>
                <w:sz w:val="16"/>
                <w:szCs w:val="16"/>
                <w:lang w:val="en-US" w:eastAsia="zh-CN" w:bidi="zh-CN"/>
              </w:rPr>
              <w:t>2</w:t>
            </w:r>
          </w:p>
        </w:tc>
        <w:tc>
          <w:tcPr>
            <w:tcW w:w="1354" w:type="dxa"/>
            <w:tcMar>
              <w:top w:w="57" w:type="dxa"/>
              <w:left w:w="57" w:type="dxa"/>
              <w:bottom w:w="57" w:type="dxa"/>
              <w:right w:w="57" w:type="dxa"/>
            </w:tcMar>
            <w:vAlign w:val="center"/>
          </w:tcPr>
          <w:p>
            <w:pPr>
              <w:keepNext w:val="0"/>
              <w:keepLines w:val="0"/>
              <w:widowControl/>
              <w:suppressLineNumbers w:val="0"/>
              <w:ind w:left="0" w:leftChars="0" w:right="0" w:rightChars="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建筑垃圾运输企业应当采取措施防止环境污染</w:t>
            </w:r>
          </w:p>
        </w:tc>
        <w:tc>
          <w:tcPr>
            <w:tcW w:w="2180" w:type="dxa"/>
            <w:tcMar>
              <w:top w:w="57" w:type="dxa"/>
              <w:left w:w="57" w:type="dxa"/>
              <w:bottom w:w="57"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1.运输车辆未密闭运输；</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2.运输车辆沿途抛洒</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滴漏；</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3.运输车辆车轮带泥污染道路；</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4.车辆未按照规定时间和线路行驶。</w:t>
            </w:r>
          </w:p>
        </w:tc>
        <w:tc>
          <w:tcPr>
            <w:tcW w:w="5672" w:type="dxa"/>
            <w:tcMar>
              <w:top w:w="57" w:type="dxa"/>
              <w:left w:w="57" w:type="dxa"/>
              <w:bottom w:w="57" w:type="dxa"/>
              <w:right w:w="57" w:type="dxa"/>
            </w:tcMar>
            <w:vAlign w:val="center"/>
          </w:tcPr>
          <w:p>
            <w:pPr>
              <w:keepNext w:val="0"/>
              <w:keepLines w:val="0"/>
              <w:widowControl/>
              <w:suppressLineNumbers w:val="0"/>
              <w:ind w:left="0" w:leftChars="0" w:right="0" w:rightChars="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【部门规章】《城市建筑垃圾管理规定》</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第十四条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 xml:space="preserve"> 处置建筑垃圾的单位在运输建筑垃圾时，应当随车携带建筑垃圾处置核准文件，按照城市人民政府有关部门规定的运输路线、时间运行，不得丢弃、遗撒建筑垃圾，不得超出核准范围承运建筑垃圾。</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第二十三条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处置建筑垃圾的单位在运输建筑垃圾过程中沿途丢弃、遗撒建筑垃圾的，由城市人民政府市容环境卫生主管部门责令限期改正，给予警告，处5000元以上5万元以下罚款。</w:t>
            </w:r>
            <w:r>
              <w:rPr>
                <w:rFonts w:hint="default"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【地方性法规】</w:t>
            </w:r>
            <w:r>
              <w:rPr>
                <w:rFonts w:hint="default" w:ascii="Times New Roman" w:hAnsi="Times New Roman" w:eastAsia="方正楷体_GBK" w:cs="Times New Roman"/>
                <w:sz w:val="16"/>
                <w:szCs w:val="22"/>
                <w:lang w:val="en-US" w:eastAsia="zh-CN" w:bidi="zh-CN"/>
              </w:rPr>
              <w:t>《江苏省城市市容和环境卫生管理条例》</w:t>
            </w:r>
            <w:r>
              <w:rPr>
                <w:rFonts w:hint="eastAsia" w:ascii="Times New Roman" w:hAnsi="Times New Roman" w:eastAsia="方正楷体_GBK" w:cs="Times New Roman"/>
                <w:sz w:val="16"/>
                <w:szCs w:val="22"/>
                <w:lang w:val="en-US" w:eastAsia="zh-CN" w:bidi="zh-CN"/>
              </w:rPr>
              <w:t>（2023修订）</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第二十一条</w:t>
            </w:r>
            <w:r>
              <w:rPr>
                <w:rFonts w:hint="eastAsia" w:ascii="Times New Roman" w:hAnsi="Times New Roman" w:eastAsia="方正楷体_GBK" w:cs="Times New Roman"/>
                <w:sz w:val="16"/>
                <w:szCs w:val="22"/>
                <w:lang w:val="en-US" w:eastAsia="zh-CN" w:bidi="zh-CN"/>
              </w:rPr>
              <w:t>第二款</w:t>
            </w:r>
            <w:r>
              <w:rPr>
                <w:rFonts w:hint="default" w:ascii="Times New Roman" w:hAnsi="Times New Roman" w:eastAsia="方正楷体_GBK" w:cs="Times New Roman"/>
                <w:sz w:val="16"/>
                <w:szCs w:val="22"/>
                <w:lang w:val="en-US" w:eastAsia="zh-CN" w:bidi="zh-CN"/>
              </w:rPr>
              <w:t xml:space="preserve">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运输散装、流体物料（含工程渣土、工程泥浆等，下同）的车辆，应当采取密封、包扎、覆盖等密闭或者其他措施防止物料泄漏、遗撒，不得车轮带泥行驶。</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第六十三条</w:t>
            </w:r>
            <w:r>
              <w:rPr>
                <w:rFonts w:hint="eastAsia" w:ascii="Times New Roman" w:hAnsi="Times New Roman" w:eastAsia="方正楷体_GBK" w:cs="Times New Roman"/>
                <w:sz w:val="16"/>
                <w:szCs w:val="22"/>
                <w:lang w:val="en-US" w:eastAsia="zh-CN" w:bidi="zh-CN"/>
              </w:rPr>
              <w:t xml:space="preserve">第（八）项  </w:t>
            </w:r>
            <w:r>
              <w:rPr>
                <w:rFonts w:hint="default" w:ascii="Times New Roman" w:hAnsi="Times New Roman" w:eastAsia="方正楷体_GBK" w:cs="Times New Roman"/>
                <w:sz w:val="16"/>
                <w:szCs w:val="22"/>
                <w:lang w:val="en-US" w:eastAsia="zh-CN" w:bidi="zh-CN"/>
              </w:rPr>
              <w:t>违反本条例规定，有下列行为之一，影响市容的，由设区的市、县（市、区）城市管理主管部门按照以下规定处理：</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八）运输散装、流体物料的车辆，未采取密闭或者其他措施防止物料泄漏、遗撒的，责令改正、采取补救措施，处二千元以上二万元以下罚款；拒不改正的，车辆不得上道路行驶。车轮带泥行驶的，处二百元以上一千元以下罚款。</w:t>
            </w:r>
            <w:r>
              <w:rPr>
                <w:rFonts w:hint="default"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【地方性法规】</w:t>
            </w:r>
            <w:r>
              <w:rPr>
                <w:rFonts w:hint="default" w:ascii="Times New Roman" w:hAnsi="Times New Roman" w:eastAsia="方正楷体_GBK" w:cs="Times New Roman"/>
                <w:sz w:val="16"/>
                <w:szCs w:val="22"/>
                <w:lang w:val="en-US" w:eastAsia="zh-CN" w:bidi="zh-CN"/>
              </w:rPr>
              <w:t>《无锡市市容和环境卫生管理条例》</w:t>
            </w:r>
            <w:r>
              <w:rPr>
                <w:rFonts w:hint="eastAsia" w:ascii="Times New Roman" w:hAnsi="Times New Roman" w:eastAsia="方正楷体_GBK" w:cs="Times New Roman"/>
                <w:sz w:val="16"/>
                <w:szCs w:val="22"/>
                <w:lang w:val="en-US" w:eastAsia="zh-CN" w:bidi="zh-CN"/>
              </w:rPr>
              <w:t>（2019修正）</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第三十七条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建设工程产生的建筑垃圾</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工程渣土</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工程泥浆等废弃物应当交给经核准的处置</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运输</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消纳单位处理</w:t>
            </w:r>
            <w:r>
              <w:rPr>
                <w:rFonts w:hint="eastAsia" w:ascii="Times New Roman" w:hAnsi="Times New Roman" w:eastAsia="方正楷体_GBK" w:cs="Times New Roman"/>
                <w:sz w:val="16"/>
                <w:szCs w:val="22"/>
                <w:lang w:val="en-US" w:eastAsia="zh-CN" w:bidi="zh-CN"/>
              </w:rPr>
              <w:t>。</w:t>
            </w:r>
          </w:p>
          <w:p>
            <w:pPr>
              <w:keepNext w:val="0"/>
              <w:keepLines w:val="0"/>
              <w:widowControl/>
              <w:suppressLineNumbers w:val="0"/>
              <w:ind w:left="0" w:leftChars="0" w:right="0" w:rightChars="0" w:firstLine="320" w:firstLineChars="200"/>
              <w:jc w:val="both"/>
              <w:textAlignment w:val="center"/>
              <w:rPr>
                <w:rFonts w:hint="eastAsia"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从事建筑垃圾</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工程渣土</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工程泥浆的运输单位车辆应当符合下列规定</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（一）密闭运输</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（二）严禁超载；（三）不得车轮带泥行驶</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（四）不得沿途丢弃、遗撒</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（五）随车携带车辆运输处置证明和车辆准运证</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（六）按照规定的时间和线路运送到指定场地</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（七）加装数字化监控设备</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放大号牌应当清晰</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完整</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（八）</w:t>
            </w:r>
            <w:r>
              <w:rPr>
                <w:rFonts w:hint="default" w:ascii="Times New Roman" w:hAnsi="Times New Roman" w:eastAsia="方正楷体_GBK" w:cs="Times New Roman"/>
                <w:sz w:val="16"/>
                <w:szCs w:val="22"/>
                <w:highlight w:val="none"/>
                <w:lang w:val="en-US" w:eastAsia="zh-CN" w:bidi="zh-CN"/>
              </w:rPr>
              <w:t>法律</w:t>
            </w:r>
            <w:r>
              <w:rPr>
                <w:rFonts w:hint="eastAsia" w:ascii="Times New Roman" w:hAnsi="Times New Roman" w:eastAsia="方正楷体_GBK" w:cs="Times New Roman"/>
                <w:sz w:val="16"/>
                <w:szCs w:val="22"/>
                <w:highlight w:val="none"/>
                <w:lang w:val="en-US" w:eastAsia="zh-CN" w:bidi="zh-CN"/>
              </w:rPr>
              <w:t>、</w:t>
            </w:r>
            <w:r>
              <w:rPr>
                <w:rFonts w:hint="default" w:ascii="Times New Roman" w:hAnsi="Times New Roman" w:eastAsia="方正楷体_GBK" w:cs="Times New Roman"/>
                <w:sz w:val="16"/>
                <w:szCs w:val="22"/>
                <w:highlight w:val="none"/>
                <w:lang w:val="en-US" w:eastAsia="zh-CN" w:bidi="zh-CN"/>
              </w:rPr>
              <w:t>法规</w:t>
            </w:r>
            <w:r>
              <w:rPr>
                <w:rFonts w:hint="default" w:ascii="Times New Roman" w:hAnsi="Times New Roman" w:eastAsia="方正楷体_GBK" w:cs="Times New Roman"/>
                <w:sz w:val="16"/>
                <w:szCs w:val="22"/>
                <w:lang w:val="en-US" w:eastAsia="zh-CN" w:bidi="zh-CN"/>
              </w:rPr>
              <w:t>规定的其他要求</w:t>
            </w:r>
            <w:r>
              <w:rPr>
                <w:rFonts w:hint="eastAsia" w:ascii="Times New Roman" w:hAnsi="Times New Roman" w:eastAsia="方正楷体_GBK" w:cs="Times New Roman"/>
                <w:sz w:val="16"/>
                <w:szCs w:val="22"/>
                <w:lang w:val="en-US" w:eastAsia="zh-CN" w:bidi="zh-CN"/>
              </w:rPr>
              <w:t>。</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第七十一条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违反本条例关于建设工地管理规定的，由城市管理综合行政执法部门按照下列规定予以处罚：</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（二）违反本条例第三十七条第二款第一项规定，未密闭运输的，责令运输单位限期改正，处以五千元以上两万元以下罚款。</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三）违反本条例第三十七条第二款第三项、第四项规定，车轮带泥行驶，沿途丢弃、遗撒，污染路面的，责令采取补救措施，处以五百元以上五千元以下罚款；拒不采取补救措施的，由城市管理综合行政执法部门组织专业作业单位及时清除，清除费用由违法行为人承担。</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（四）违反本条例第三十七条第二款第六项规定，车辆未按照规定时间和线路行驶的，处以五百元以上五千元以下罚款。</w:t>
            </w:r>
          </w:p>
        </w:tc>
        <w:tc>
          <w:tcPr>
            <w:tcW w:w="750" w:type="dxa"/>
            <w:tcMar>
              <w:top w:w="57" w:type="dxa"/>
              <w:left w:w="57" w:type="dxa"/>
              <w:bottom w:w="57" w:type="dxa"/>
              <w:right w:w="57" w:type="dxa"/>
            </w:tcMar>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cs="Times New Roman" w:eastAsiaTheme="minorEastAsia"/>
                <w:sz w:val="16"/>
                <w:szCs w:val="22"/>
                <w:lang w:val="en-US" w:eastAsia="zh-CN" w:bidi="zh-CN"/>
              </w:rPr>
              <w:t>★★★</w:t>
            </w:r>
          </w:p>
        </w:tc>
        <w:tc>
          <w:tcPr>
            <w:tcW w:w="2631" w:type="dxa"/>
            <w:tcMar>
              <w:top w:w="57" w:type="dxa"/>
              <w:left w:w="57" w:type="dxa"/>
              <w:bottom w:w="57"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1.</w:t>
            </w:r>
            <w:r>
              <w:rPr>
                <w:rFonts w:hint="default" w:ascii="Times New Roman" w:hAnsi="Times New Roman" w:eastAsia="方正楷体_GBK" w:cs="Times New Roman"/>
                <w:sz w:val="16"/>
                <w:szCs w:val="22"/>
                <w:lang w:val="en-US" w:eastAsia="zh-CN" w:bidi="zh-CN"/>
              </w:rPr>
              <w:t>建筑垃圾运输车辆应密闭，应经公安、城管部门联合审验备案，取得建筑垃圾（工程渣土）运输处置资质证书。</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2.</w:t>
            </w:r>
            <w:r>
              <w:rPr>
                <w:rFonts w:hint="default" w:ascii="Times New Roman" w:hAnsi="Times New Roman" w:eastAsia="方正楷体_GBK" w:cs="Times New Roman"/>
                <w:sz w:val="16"/>
                <w:szCs w:val="22"/>
                <w:lang w:val="en-US" w:eastAsia="zh-CN" w:bidi="zh-CN"/>
              </w:rPr>
              <w:t>施工现场应设置车辆清洗台，进出口通道硬化，防止运输车辆车轮带泥上路。</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3.</w:t>
            </w:r>
            <w:r>
              <w:rPr>
                <w:rFonts w:hint="default" w:ascii="Times New Roman" w:hAnsi="Times New Roman" w:eastAsia="方正楷体_GBK" w:cs="Times New Roman"/>
                <w:sz w:val="16"/>
                <w:szCs w:val="22"/>
                <w:lang w:val="en-US" w:eastAsia="zh-CN" w:bidi="zh-CN"/>
              </w:rPr>
              <w:t>保持运输</w:t>
            </w:r>
            <w:r>
              <w:rPr>
                <w:rFonts w:hint="eastAsia" w:ascii="Times New Roman" w:hAnsi="Times New Roman" w:eastAsia="方正楷体_GBK" w:cs="Times New Roman"/>
                <w:sz w:val="16"/>
                <w:szCs w:val="22"/>
                <w:highlight w:val="none"/>
                <w:lang w:val="en-US" w:eastAsia="zh-CN" w:bidi="zh-CN"/>
              </w:rPr>
              <w:t>车辆外形</w:t>
            </w:r>
            <w:r>
              <w:rPr>
                <w:rFonts w:hint="default" w:ascii="Times New Roman" w:hAnsi="Times New Roman" w:eastAsia="方正楷体_GBK" w:cs="Times New Roman"/>
                <w:sz w:val="16"/>
                <w:szCs w:val="22"/>
                <w:lang w:val="en-US" w:eastAsia="zh-CN" w:bidi="zh-CN"/>
              </w:rPr>
              <w:t>完好、整洁。</w:t>
            </w:r>
          </w:p>
        </w:tc>
        <w:tc>
          <w:tcPr>
            <w:tcW w:w="1117" w:type="dxa"/>
            <w:tcMar>
              <w:top w:w="57" w:type="dxa"/>
              <w:left w:w="57" w:type="dxa"/>
              <w:bottom w:w="57" w:type="dxa"/>
              <w:right w:w="57" w:type="dxa"/>
            </w:tcMar>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环卫科81178421</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执法大队机动中队</w:t>
            </w:r>
          </w:p>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85878032</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马山</w:t>
            </w:r>
            <w:r>
              <w:rPr>
                <w:rFonts w:hint="eastAsia" w:ascii="Times New Roman" w:hAnsi="Times New Roman" w:eastAsia="方正楷体_GBK" w:cs="Times New Roman"/>
                <w:sz w:val="16"/>
                <w:szCs w:val="22"/>
                <w:lang w:val="en-US" w:eastAsia="zh-CN" w:bidi="zh-CN"/>
              </w:rPr>
              <w:t>咨询</w:t>
            </w:r>
            <w:r>
              <w:rPr>
                <w:rFonts w:hint="default" w:ascii="Times New Roman" w:hAnsi="Times New Roman" w:eastAsia="方正楷体_GBK" w:cs="Times New Roman"/>
                <w:sz w:val="16"/>
                <w:szCs w:val="22"/>
                <w:lang w:val="en-US" w:eastAsia="zh-CN" w:bidi="zh-CN"/>
              </w:rPr>
              <w:t>85991495</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雪浪</w:t>
            </w:r>
            <w:r>
              <w:rPr>
                <w:rFonts w:hint="eastAsia" w:ascii="Times New Roman" w:hAnsi="Times New Roman" w:eastAsia="方正楷体_GBK" w:cs="Times New Roman"/>
                <w:sz w:val="16"/>
                <w:szCs w:val="22"/>
                <w:lang w:val="en-US" w:eastAsia="zh-CN" w:bidi="zh-CN"/>
              </w:rPr>
              <w:t>咨询</w:t>
            </w:r>
            <w:r>
              <w:rPr>
                <w:rFonts w:hint="default" w:ascii="Times New Roman" w:hAnsi="Times New Roman" w:eastAsia="方正楷体_GBK" w:cs="Times New Roman"/>
                <w:sz w:val="16"/>
                <w:szCs w:val="22"/>
                <w:lang w:val="en-US" w:eastAsia="zh-CN" w:bidi="zh-CN"/>
              </w:rPr>
              <w:t>85187773</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胡埭</w:t>
            </w:r>
            <w:r>
              <w:rPr>
                <w:rFonts w:hint="eastAsia" w:ascii="Times New Roman" w:hAnsi="Times New Roman" w:eastAsia="方正楷体_GBK" w:cs="Times New Roman"/>
                <w:sz w:val="16"/>
                <w:szCs w:val="22"/>
                <w:lang w:val="en-US" w:eastAsia="zh-CN" w:bidi="zh-CN"/>
              </w:rPr>
              <w:t>咨询</w:t>
            </w:r>
            <w:r>
              <w:rPr>
                <w:rFonts w:hint="default" w:ascii="Times New Roman" w:hAnsi="Times New Roman" w:eastAsia="方正楷体_GBK" w:cs="Times New Roman"/>
                <w:sz w:val="16"/>
                <w:szCs w:val="22"/>
                <w:lang w:val="en-US" w:eastAsia="zh-CN" w:bidi="zh-CN"/>
              </w:rPr>
              <w:t>85595475</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蠡园</w:t>
            </w:r>
            <w:r>
              <w:rPr>
                <w:rFonts w:hint="eastAsia" w:ascii="Times New Roman" w:hAnsi="Times New Roman" w:eastAsia="方正楷体_GBK" w:cs="Times New Roman"/>
                <w:sz w:val="16"/>
                <w:szCs w:val="22"/>
                <w:lang w:val="en-US" w:eastAsia="zh-CN" w:bidi="zh-CN"/>
              </w:rPr>
              <w:t>咨询</w:t>
            </w:r>
            <w:r>
              <w:rPr>
                <w:rFonts w:hint="default" w:ascii="Times New Roman" w:hAnsi="Times New Roman" w:eastAsia="方正楷体_GBK" w:cs="Times New Roman"/>
                <w:sz w:val="16"/>
                <w:szCs w:val="22"/>
                <w:lang w:val="en-US" w:eastAsia="zh-CN" w:bidi="zh-CN"/>
              </w:rPr>
              <w:t>85126659</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河埒</w:t>
            </w:r>
            <w:r>
              <w:rPr>
                <w:rFonts w:hint="eastAsia" w:ascii="Times New Roman" w:hAnsi="Times New Roman" w:eastAsia="方正楷体_GBK" w:cs="Times New Roman"/>
                <w:sz w:val="16"/>
                <w:szCs w:val="22"/>
                <w:lang w:val="en-US" w:eastAsia="zh-CN" w:bidi="zh-CN"/>
              </w:rPr>
              <w:t>咨询</w:t>
            </w:r>
            <w:r>
              <w:rPr>
                <w:rFonts w:hint="default" w:ascii="Times New Roman" w:hAnsi="Times New Roman" w:eastAsia="方正楷体_GBK" w:cs="Times New Roman"/>
                <w:sz w:val="16"/>
                <w:szCs w:val="22"/>
                <w:lang w:val="en-US" w:eastAsia="zh-CN" w:bidi="zh-CN"/>
              </w:rPr>
              <w:t>85880216</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荣巷</w:t>
            </w:r>
            <w:r>
              <w:rPr>
                <w:rFonts w:hint="eastAsia" w:ascii="Times New Roman" w:hAnsi="Times New Roman" w:eastAsia="方正楷体_GBK" w:cs="Times New Roman"/>
                <w:sz w:val="16"/>
                <w:szCs w:val="22"/>
                <w:lang w:val="en-US" w:eastAsia="zh-CN" w:bidi="zh-CN"/>
              </w:rPr>
              <w:t>咨询</w:t>
            </w:r>
            <w:r>
              <w:rPr>
                <w:rFonts w:hint="default" w:ascii="Times New Roman" w:hAnsi="Times New Roman" w:eastAsia="方正楷体_GBK" w:cs="Times New Roman"/>
                <w:sz w:val="16"/>
                <w:szCs w:val="22"/>
                <w:lang w:val="en-US" w:eastAsia="zh-CN" w:bidi="zh-CN"/>
              </w:rPr>
              <w:t>85800801</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蠡湖</w:t>
            </w:r>
            <w:r>
              <w:rPr>
                <w:rFonts w:hint="eastAsia" w:ascii="Times New Roman" w:hAnsi="Times New Roman" w:eastAsia="方正楷体_GBK" w:cs="Times New Roman"/>
                <w:sz w:val="16"/>
                <w:szCs w:val="22"/>
                <w:lang w:val="en-US" w:eastAsia="zh-CN" w:bidi="zh-CN"/>
              </w:rPr>
              <w:t>咨询</w:t>
            </w:r>
            <w:r>
              <w:rPr>
                <w:rFonts w:hint="default" w:ascii="Times New Roman" w:hAnsi="Times New Roman" w:eastAsia="方正楷体_GBK" w:cs="Times New Roman"/>
                <w:sz w:val="16"/>
                <w:szCs w:val="22"/>
                <w:lang w:val="en-US" w:eastAsia="zh-CN" w:bidi="zh-CN"/>
              </w:rPr>
              <w:t>85117920</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spacing w:before="93"/>
        <w:ind w:right="4255"/>
        <w:jc w:val="both"/>
        <w:rPr>
          <w:rFonts w:hint="eastAsia" w:ascii="方正楷体_GBK" w:hAnsi="方正楷体_GBK" w:eastAsia="方正楷体_GBK" w:cs="方正楷体_GBK"/>
          <w:sz w:val="16"/>
          <w:szCs w:val="22"/>
          <w:lang w:val="en-US" w:eastAsia="zh-CN" w:bidi="zh-CN"/>
        </w:rPr>
      </w:pPr>
    </w:p>
    <w:p>
      <w:pPr>
        <w:rPr>
          <w:rFonts w:hint="eastAsia" w:ascii="楷体" w:eastAsia="楷体"/>
          <w:sz w:val="28"/>
          <w:lang w:val="en-US" w:eastAsia="zh-CN"/>
        </w:rPr>
      </w:pPr>
      <w:r>
        <w:rPr>
          <w:rFonts w:hint="eastAsia" w:ascii="楷体" w:eastAsia="楷体"/>
          <w:sz w:val="28"/>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default" w:ascii="楷体" w:eastAsia="楷体"/>
          <w:sz w:val="28"/>
          <w:szCs w:val="28"/>
          <w:lang w:val="en-US" w:eastAsia="zh-CN"/>
        </w:rPr>
      </w:pPr>
      <w:r>
        <w:rPr>
          <w:rFonts w:hint="eastAsia" w:ascii="楷体" w:eastAsia="楷体"/>
          <w:sz w:val="28"/>
          <w:szCs w:val="28"/>
          <w:lang w:val="en-US" w:eastAsia="zh-CN"/>
        </w:rPr>
        <w:t>适用于单位和个人：</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330" w:hRule="atLeast"/>
        </w:trPr>
        <w:tc>
          <w:tcPr>
            <w:tcW w:w="653" w:type="dxa"/>
            <w:tcMar>
              <w:top w:w="57" w:type="dxa"/>
              <w:left w:w="57" w:type="dxa"/>
              <w:bottom w:w="57" w:type="dxa"/>
              <w:right w:w="57" w:type="dxa"/>
            </w:tcMar>
            <w:vAlign w:val="center"/>
          </w:tcPr>
          <w:p>
            <w:pPr>
              <w:pStyle w:val="16"/>
              <w:spacing w:before="1"/>
              <w:ind w:left="104" w:leftChars="0" w:right="87" w:rightChars="0"/>
              <w:jc w:val="center"/>
              <w:rPr>
                <w:rFonts w:hint="eastAsia" w:ascii="黑体" w:eastAsia="黑体"/>
                <w:b/>
                <w:sz w:val="20"/>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keepNext w:val="0"/>
              <w:keepLines w:val="0"/>
              <w:widowControl/>
              <w:suppressLineNumbers w:val="0"/>
              <w:ind w:left="0" w:leftChars="0" w:right="0" w:rightChars="0"/>
              <w:jc w:val="both"/>
              <w:textAlignment w:val="center"/>
              <w:rPr>
                <w:rFonts w:hint="default"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sz w:val="16"/>
                <w:szCs w:val="22"/>
                <w:lang w:val="en-US" w:eastAsia="zh-CN" w:bidi="zh-CN"/>
              </w:rPr>
              <w:t>单位和个人应当按规定分类投放生活垃圾</w:t>
            </w:r>
          </w:p>
        </w:tc>
        <w:tc>
          <w:tcPr>
            <w:tcW w:w="2180" w:type="dxa"/>
            <w:tcMar>
              <w:top w:w="57" w:type="dxa"/>
              <w:left w:w="57" w:type="dxa"/>
              <w:bottom w:w="57"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1.未在指定的地点分类投放生活垃圾；</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2.未按照规定的投放时间、地点、方式等要求分类投放生活垃圾；</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3.生活垃圾分类投放管理责任人未按照规定设置符合标准的生活垃圾收集容器；</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sz w:val="16"/>
                <w:szCs w:val="22"/>
                <w:lang w:val="en-US" w:eastAsia="zh-CN" w:bidi="zh-CN"/>
              </w:rPr>
              <w:t>4.生活垃圾分类投放管理责任人将分类后的生活垃圾移交不符合要求的单位收集、运输。</w:t>
            </w:r>
          </w:p>
        </w:tc>
        <w:tc>
          <w:tcPr>
            <w:tcW w:w="5672" w:type="dxa"/>
            <w:tcMar>
              <w:top w:w="57" w:type="dxa"/>
              <w:left w:w="57" w:type="dxa"/>
              <w:bottom w:w="57" w:type="dxa"/>
              <w:right w:w="57" w:type="dxa"/>
            </w:tcMar>
            <w:vAlign w:val="center"/>
          </w:tcPr>
          <w:p>
            <w:pPr>
              <w:keepNext w:val="0"/>
              <w:keepLines w:val="0"/>
              <w:widowControl/>
              <w:suppressLineNumbers w:val="0"/>
              <w:spacing w:line="240" w:lineRule="auto"/>
              <w:ind w:left="0" w:leftChars="0" w:right="0" w:rightChars="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【法律】《中华人民共和国固体废物污染环境防治法》（2020修订）</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第四十九条</w:t>
            </w:r>
            <w:r>
              <w:rPr>
                <w:rFonts w:hint="eastAsia" w:ascii="Times New Roman" w:hAnsi="Times New Roman" w:eastAsia="方正楷体_GBK" w:cs="Times New Roman"/>
                <w:sz w:val="16"/>
                <w:szCs w:val="22"/>
                <w:lang w:val="en-US" w:eastAsia="zh-CN" w:bidi="zh-CN"/>
              </w:rPr>
              <w:t xml:space="preserve">第一款 </w:t>
            </w:r>
            <w:r>
              <w:rPr>
                <w:rFonts w:hint="default" w:ascii="Times New Roman" w:hAnsi="Times New Roman" w:eastAsia="方正楷体_GBK" w:cs="Times New Roman"/>
                <w:sz w:val="16"/>
                <w:szCs w:val="22"/>
                <w:lang w:val="en-US" w:eastAsia="zh-CN" w:bidi="zh-CN"/>
              </w:rPr>
              <w:t xml:space="preserve"> 产生生活垃圾的单位、家庭和个人应当依法履行生活垃圾源头减量和分类投放义务，承担生活垃圾产生者责任。</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 xml:space="preserve">第四十九条第二款  </w:t>
            </w:r>
            <w:r>
              <w:rPr>
                <w:rFonts w:hint="default" w:ascii="Times New Roman" w:hAnsi="Times New Roman" w:eastAsia="方正楷体_GBK" w:cs="Times New Roman"/>
                <w:sz w:val="16"/>
                <w:szCs w:val="22"/>
                <w:lang w:val="en-US" w:eastAsia="zh-CN" w:bidi="zh-CN"/>
              </w:rPr>
              <w:t>任何单位和个人都应当依法在指定的地点分类投放生活垃圾。禁止随意倾倒、抛撒、堆放或者焚烧生活垃圾。</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第一百一十一条第三款 违反本法规定，未在指定的地点分类投放生活垃圾的，由县级以上地方人民政府环境卫生主管部门责令改正；情节严重的，对单位处五万元以上五十万元以下的罚款，对个人依法处以罚款。</w:t>
            </w:r>
            <w:r>
              <w:rPr>
                <w:rFonts w:hint="default" w:ascii="Times New Roman" w:hAnsi="Times New Roman" w:eastAsia="方正楷体_GBK" w:cs="Times New Roman"/>
                <w:sz w:val="16"/>
                <w:szCs w:val="22"/>
                <w:lang w:val="en-US" w:eastAsia="zh-CN" w:bidi="zh-CN"/>
              </w:rPr>
              <w:br w:type="textWrapping"/>
            </w:r>
            <w:r>
              <w:rPr>
                <w:rFonts w:hint="eastAsia" w:ascii="Times New Roman" w:hAnsi="Times New Roman" w:eastAsia="方正楷体_GBK" w:cs="Times New Roman"/>
                <w:sz w:val="16"/>
                <w:szCs w:val="22"/>
                <w:lang w:val="en-US" w:eastAsia="zh-CN" w:bidi="zh-CN"/>
              </w:rPr>
              <w:t>【地方性法规】</w:t>
            </w:r>
            <w:r>
              <w:rPr>
                <w:rFonts w:hint="default" w:ascii="Times New Roman" w:hAnsi="Times New Roman" w:eastAsia="方正楷体_GBK" w:cs="Times New Roman"/>
                <w:sz w:val="16"/>
                <w:szCs w:val="22"/>
                <w:lang w:val="en-US" w:eastAsia="zh-CN" w:bidi="zh-CN"/>
              </w:rPr>
              <w:t>《无锡市生活垃圾分类管理条例》</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第十九条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产生生活垃圾的单位、个人是生活垃圾分类投放的责任主体，应当减少生活垃圾的产生，履行生活垃圾分类投放等义务。</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单位和个人应当按照规定的投放时间、地点、方式等要求，将不同类别的生活垃圾分别投放到相应标识的收集容器。</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 xml:space="preserve">第二十一条 </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生活垃圾分类投放管理责任人应当履行下列责任：</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（一）建立生活垃圾分类日常管理制度，公示生活垃圾的投放地点、投放方式、投放时间等；</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（二）在责任范围内开展生活垃圾分类宣传；</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（三）依据生活垃圾分类设施配置规范，合理设置生活垃圾分类投放容器；</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（四）指导、监督责任区内的单位和个人进行生活垃圾分类投放；</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（五）将分类后的生活垃圾移交符合要求的收集、运输单位。</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第五十五条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 xml:space="preserve"> 违反本条例第十九条第二款规定，未按照规定要求分类投放生活垃圾的单位，由环境卫生行政管理部门责令其改正，并处以三千元以上一万元以下罚款。</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违反本条例第十九条第二款规定，未按照规定要求分类投放生活垃圾的个人，由环境卫生行政管理部门责令其改正；拒不改正的，处以五十元以上二百元以下罚款。</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第五十六条</w:t>
            </w:r>
            <w:r>
              <w:rPr>
                <w:rFonts w:hint="eastAsia" w:ascii="Times New Roman" w:hAnsi="Times New Roman" w:eastAsia="方正楷体_GBK" w:cs="Times New Roman"/>
                <w:sz w:val="16"/>
                <w:szCs w:val="22"/>
                <w:lang w:val="en-US" w:eastAsia="zh-CN" w:bidi="zh-CN"/>
              </w:rPr>
              <w:t xml:space="preserve">  </w:t>
            </w:r>
            <w:r>
              <w:rPr>
                <w:rFonts w:hint="default" w:ascii="Times New Roman" w:hAnsi="Times New Roman" w:eastAsia="方正楷体_GBK" w:cs="Times New Roman"/>
                <w:sz w:val="16"/>
                <w:szCs w:val="22"/>
                <w:lang w:val="en-US" w:eastAsia="zh-CN" w:bidi="zh-CN"/>
              </w:rPr>
              <w:t>违反本条例第二十一条规定，有下列情形之一的，由环境卫生行政管理部门责令限期改正；逾期未改正的，按照下列规定进行处罚：</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（一）违反第三项规定</w:t>
            </w:r>
            <w:r>
              <w:rPr>
                <w:rFonts w:hint="eastAsia" w:ascii="Times New Roman" w:hAnsi="Times New Roman" w:eastAsia="方正楷体_GBK" w:cs="Times New Roman"/>
                <w:sz w:val="16"/>
                <w:szCs w:val="22"/>
                <w:lang w:val="en-US" w:eastAsia="zh-CN" w:bidi="zh-CN"/>
              </w:rPr>
              <w:t>，</w:t>
            </w:r>
            <w:r>
              <w:rPr>
                <w:rFonts w:hint="default" w:ascii="Times New Roman" w:hAnsi="Times New Roman" w:eastAsia="方正楷体_GBK" w:cs="Times New Roman"/>
                <w:sz w:val="16"/>
                <w:szCs w:val="22"/>
                <w:lang w:val="en-US" w:eastAsia="zh-CN" w:bidi="zh-CN"/>
              </w:rPr>
              <w:t xml:space="preserve">生活垃圾分类投放管理责任人未按照规定设置符合标准的生活垃圾收集容器的，处以一千元以上一万元以下罚款； </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sz w:val="16"/>
                <w:szCs w:val="22"/>
                <w:lang w:val="en-US" w:eastAsia="zh-CN" w:bidi="zh-CN"/>
              </w:rPr>
              <w:t>（二）违反第五项规定，生活垃圾分类投放管理责任人将分类后的生活垃圾移交不符合要求的单位收集、运输的，处以二千元以上二万元以下罚款。</w:t>
            </w:r>
          </w:p>
        </w:tc>
        <w:tc>
          <w:tcPr>
            <w:tcW w:w="750" w:type="dxa"/>
            <w:tcMar>
              <w:top w:w="57" w:type="dxa"/>
              <w:left w:w="57" w:type="dxa"/>
              <w:bottom w:w="57" w:type="dxa"/>
              <w:right w:w="57" w:type="dxa"/>
            </w:tcMar>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22"/>
                <w:lang w:val="zh-CN" w:eastAsia="zh-CN" w:bidi="zh-CN"/>
              </w:rPr>
            </w:pPr>
            <w:r>
              <w:rPr>
                <w:rFonts w:hint="eastAsia" w:asciiTheme="minorEastAsia" w:hAnsiTheme="minorEastAsia" w:eastAsiaTheme="minorEastAsia" w:cstheme="minorEastAsia"/>
                <w:sz w:val="16"/>
                <w:szCs w:val="22"/>
                <w:lang w:val="en-US" w:eastAsia="zh-CN" w:bidi="zh-CN"/>
              </w:rPr>
              <w:t>★★★</w:t>
            </w:r>
          </w:p>
        </w:tc>
        <w:tc>
          <w:tcPr>
            <w:tcW w:w="2631" w:type="dxa"/>
            <w:tcMar>
              <w:top w:w="57" w:type="dxa"/>
              <w:left w:w="57" w:type="dxa"/>
              <w:bottom w:w="57" w:type="dxa"/>
              <w:right w:w="57" w:type="dxa"/>
            </w:tcMar>
            <w:vAlign w:val="center"/>
          </w:tcPr>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1.</w:t>
            </w:r>
            <w:r>
              <w:rPr>
                <w:rFonts w:hint="default" w:ascii="Times New Roman" w:hAnsi="Times New Roman" w:eastAsia="方正楷体_GBK" w:cs="Times New Roman"/>
                <w:sz w:val="16"/>
                <w:szCs w:val="22"/>
                <w:lang w:val="en-US" w:eastAsia="zh-CN" w:bidi="zh-CN"/>
              </w:rPr>
              <w:t>产生生活垃圾的单位、家庭和个人应当依法履行生活垃圾源头减量和分类投放义务，承担生活垃圾产生者责任。任何单位和个人都应当依法在指定的地点分类投放生活垃圾。</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eastAsia" w:ascii="Times New Roman" w:hAnsi="Times New Roman" w:eastAsia="方正楷体_GBK" w:cs="Times New Roman"/>
                <w:sz w:val="16"/>
                <w:szCs w:val="22"/>
                <w:lang w:val="en-US" w:eastAsia="zh-CN" w:bidi="zh-CN"/>
              </w:rPr>
              <w:t>2.</w:t>
            </w:r>
            <w:r>
              <w:rPr>
                <w:rFonts w:hint="default" w:ascii="Times New Roman" w:hAnsi="Times New Roman" w:eastAsia="方正楷体_GBK" w:cs="Times New Roman"/>
                <w:sz w:val="16"/>
                <w:szCs w:val="22"/>
                <w:lang w:val="en-US" w:eastAsia="zh-CN" w:bidi="zh-CN"/>
              </w:rPr>
              <w:t>生活垃圾分类投放管理责任人应当履行下列责任：</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（一）建立生活垃圾分类日常管理制度，公示生活垃圾的投放地点、投放方式、投放时间等；</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（二）在责任范围内开展生活垃圾分类宣传；</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（三）依据生活垃圾分类设施配置规范，合理设置生活垃圾分类投放容器；</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en-US" w:eastAsia="zh-CN" w:bidi="zh-CN"/>
              </w:rPr>
            </w:pPr>
            <w:r>
              <w:rPr>
                <w:rFonts w:hint="default" w:ascii="Times New Roman" w:hAnsi="Times New Roman" w:eastAsia="方正楷体_GBK" w:cs="Times New Roman"/>
                <w:sz w:val="16"/>
                <w:szCs w:val="22"/>
                <w:lang w:val="en-US" w:eastAsia="zh-CN" w:bidi="zh-CN"/>
              </w:rPr>
              <w:t>（四）指导、监督责任区内的单位和个人进行生活垃圾分类投放；</w:t>
            </w:r>
          </w:p>
          <w:p>
            <w:pPr>
              <w:keepNext w:val="0"/>
              <w:keepLines w:val="0"/>
              <w:widowControl/>
              <w:suppressLineNumbers w:val="0"/>
              <w:ind w:left="0" w:leftChars="0" w:right="0" w:rightChars="0" w:firstLine="320" w:firstLineChars="200"/>
              <w:jc w:val="both"/>
              <w:textAlignment w:val="center"/>
              <w:rPr>
                <w:rFonts w:hint="default"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sz w:val="16"/>
                <w:szCs w:val="22"/>
                <w:lang w:val="en-US" w:eastAsia="zh-CN" w:bidi="zh-CN"/>
              </w:rPr>
              <w:t>（五）将分类后的生活垃圾移交符合要求的收集、运输单位。</w:t>
            </w:r>
          </w:p>
        </w:tc>
        <w:tc>
          <w:tcPr>
            <w:tcW w:w="1117" w:type="dxa"/>
            <w:tcMar>
              <w:top w:w="57" w:type="dxa"/>
              <w:left w:w="57" w:type="dxa"/>
              <w:bottom w:w="57" w:type="dxa"/>
              <w:right w:w="57" w:type="dxa"/>
            </w:tcMar>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sz w:val="16"/>
                <w:szCs w:val="22"/>
                <w:lang w:val="en-US" w:eastAsia="zh-CN" w:bidi="zh-CN"/>
              </w:rPr>
              <w:t>环卫科81178421</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执法大队市容秩序中队85875359</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 xml:space="preserve">胡埭城管办85596708 </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马山城管办85993813</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 xml:space="preserve">雪浪城管办85950265  </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河埒城管办85866906</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荣巷城管办85510356</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蠡湖城管办66002852</w:t>
            </w:r>
            <w:r>
              <w:rPr>
                <w:rFonts w:hint="default" w:ascii="Times New Roman" w:hAnsi="Times New Roman" w:eastAsia="方正楷体_GBK" w:cs="Times New Roman"/>
                <w:sz w:val="16"/>
                <w:szCs w:val="22"/>
                <w:lang w:val="en-US" w:eastAsia="zh-CN" w:bidi="zh-CN"/>
              </w:rPr>
              <w:br w:type="textWrapping"/>
            </w:r>
            <w:r>
              <w:rPr>
                <w:rFonts w:hint="default" w:ascii="Times New Roman" w:hAnsi="Times New Roman" w:eastAsia="方正楷体_GBK" w:cs="Times New Roman"/>
                <w:sz w:val="16"/>
                <w:szCs w:val="22"/>
                <w:lang w:val="en-US" w:eastAsia="zh-CN" w:bidi="zh-CN"/>
              </w:rPr>
              <w:t>蠡园城管办85139177</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spacing w:before="93"/>
        <w:ind w:right="4255"/>
        <w:jc w:val="both"/>
        <w:rPr>
          <w:rFonts w:hint="eastAsia" w:ascii="方正楷体_GBK" w:hAnsi="方正楷体_GBK" w:eastAsia="方正楷体_GBK" w:cs="方正楷体_GBK"/>
          <w:sz w:val="16"/>
          <w:szCs w:val="22"/>
          <w:lang w:val="en-US" w:eastAsia="zh-CN" w:bidi="zh-CN"/>
        </w:rPr>
      </w:pPr>
    </w:p>
    <w:p>
      <w:pPr>
        <w:rPr>
          <w:rFonts w:hint="eastAsia" w:ascii="方正小标宋_GBK" w:hAnsi="华文中宋" w:eastAsia="方正小标宋_GBK"/>
          <w:color w:val="000000"/>
          <w:kern w:val="0"/>
          <w:sz w:val="44"/>
          <w:szCs w:val="44"/>
          <w:lang w:val="en-US" w:eastAsia="zh-CN"/>
        </w:rPr>
      </w:pPr>
      <w:r>
        <w:rPr>
          <w:rFonts w:hint="eastAsia" w:ascii="方正小标宋_GBK" w:hAnsi="华文中宋" w:eastAsia="方正小标宋_GBK"/>
          <w:color w:val="000000"/>
          <w:kern w:val="0"/>
          <w:sz w:val="44"/>
          <w:szCs w:val="44"/>
          <w:lang w:val="en-US" w:eastAsia="zh-CN"/>
        </w:rPr>
        <w:br w:type="page"/>
      </w:r>
    </w:p>
    <w:p>
      <w:pPr>
        <w:pStyle w:val="2"/>
        <w:keepNext w:val="0"/>
        <w:keepLines w:val="0"/>
        <w:pageBreakBefore w:val="0"/>
        <w:widowControl w:val="0"/>
        <w:kinsoku/>
        <w:wordWrap/>
        <w:overflowPunct/>
        <w:topLinePunct w:val="0"/>
        <w:autoSpaceDE w:val="0"/>
        <w:autoSpaceDN w:val="0"/>
        <w:bidi w:val="0"/>
        <w:adjustRightInd/>
        <w:snapToGrid/>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bookmarkStart w:id="2" w:name="_Toc31760"/>
      <w:r>
        <w:rPr>
          <w:rFonts w:hint="eastAsia" w:ascii="方正小标宋_GBK" w:hAnsi="方正小标宋_GBK" w:eastAsia="方正小标宋_GBK" w:cs="方正小标宋_GBK"/>
          <w:sz w:val="44"/>
          <w:szCs w:val="44"/>
          <w:lang w:val="en-US" w:eastAsia="zh-CN"/>
        </w:rPr>
        <w:t>无锡市滨湖区交通运输局涉企行政合规指导清单</w:t>
      </w:r>
      <w:bookmarkEnd w:id="2"/>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适用于网络预约出租汽车运输经营的单位和个人：</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依法取得《网络预约出租汽车运输证》</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未取得《网络预约出租汽车运输证》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擅自从事网约车经营活动</w:t>
            </w:r>
            <w:r>
              <w:rPr>
                <w:rFonts w:hint="eastAsia" w:ascii="Times New Roman" w:hAnsi="Times New Roman" w:eastAsia="方正楷体_GBK" w:cs="Times New Roman"/>
                <w:sz w:val="16"/>
                <w:szCs w:val="16"/>
                <w:lang w:val="en-US" w:eastAsia="zh-CN"/>
              </w:rPr>
              <w:t>。</w:t>
            </w:r>
          </w:p>
        </w:tc>
        <w:tc>
          <w:tcPr>
            <w:tcW w:w="567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【部门规章】《网络预约出租汽车经营服务管理暂行办法》（2022修正）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第十二条  拟从事网约车经营的车辆，应当符合以下条件：</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（一）7座及以下乘用车；</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（二）安装具有行驶记录功能的车辆卫星定位装置、应急报警装置；</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（三）车辆技术性能符合运营安全相关标准要求。</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车辆的具体标准和营运要求，由相应的出租汽车行政主管部门，按照高品质服务、差异化经营的发展原则，结合本地实际情况确定。</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第十三条  服务所在地出租汽车行政主管部门依车辆所有人或者网约车平台公司申请，按第十二条规定的条件审核后，对符合条件并登记为预约出租客运的车辆，发放《网络预约出租汽车运输证》。</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城市人民政府对网约车发放《网络预约出租汽车运输证》另有规定的，从其规定。</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第三十四条第一款第（二）项  违反本规定，擅自从事或者变相从事网约车经营活动，有下列行为之一的，由县级以上出租汽车行政主管部门责令改正，予以警告，并按照以下规定分别予以罚款；构成犯罪的，依法追究刑事责任：</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（二）未取得《网络预约出租汽车运输证》的，对当事人处以3000元以上10000元以下罚款</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eastAsia" w:asciiTheme="minorEastAsia" w:hAnsiTheme="minorEastAsia" w:eastAsiaTheme="minorEastAsia" w:cstheme="minorEastAsia"/>
                <w:sz w:val="16"/>
                <w:szCs w:val="16"/>
                <w:lang w:val="zh-CN" w:eastAsia="zh-CN"/>
              </w:rPr>
            </w:pPr>
            <w:r>
              <w:rPr>
                <w:rFonts w:hint="eastAsia" w:asciiTheme="minorEastAsia" w:hAnsiTheme="minorEastAsia" w:eastAsiaTheme="minorEastAsia" w:cstheme="minorEastAsia"/>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从事网约车经营的，应当根据经营区域向相应的出租车行政主管部门提出申请，符合条件取得《网络预约出租汽车运输证》后从事相关经营。</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政策法规科81178915</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综合执法大队85800553</w:t>
            </w:r>
          </w:p>
        </w:tc>
      </w:tr>
    </w:tbl>
    <w:p>
      <w:pPr>
        <w:pStyle w:val="3"/>
        <w:spacing w:before="73"/>
        <w:ind w:left="441"/>
      </w:pPr>
      <w:r>
        <w:t>备注：</w:t>
      </w:r>
      <w:r>
        <w:rPr>
          <w:rFonts w:hint="default" w:ascii="Times New Roman" w:hAnsi="Times New Roman" w:cs="Times New Roman"/>
        </w:rPr>
        <w:t>1.</w:t>
      </w:r>
      <w:r>
        <w:t>本清单并未涵盖所有违法违规行为</w:t>
      </w:r>
      <w:r>
        <w:rPr>
          <w:rFonts w:hint="eastAsia"/>
          <w:lang w:eastAsia="zh-CN"/>
        </w:rPr>
        <w:t>；</w:t>
      </w:r>
      <w:r>
        <w:t>合规建议仅为行政指导</w:t>
      </w:r>
      <w:r>
        <w:rPr>
          <w:rFonts w:hint="eastAsia"/>
          <w:lang w:eastAsia="zh-CN"/>
        </w:rPr>
        <w:t>，</w:t>
      </w:r>
      <w:r>
        <w:t>不作为企业免责依据。</w:t>
      </w:r>
    </w:p>
    <w:p>
      <w:pPr>
        <w:pStyle w:val="3"/>
        <w:spacing w:before="73"/>
        <w:ind w:left="441" w:firstLine="600" w:firstLineChars="300"/>
      </w:pPr>
      <w:r>
        <w:rPr>
          <w:rFonts w:hint="default" w:ascii="Times New Roman" w:hAnsi="Times New Roman" w:cs="Times New Roman"/>
        </w:rPr>
        <w:t>2.</w:t>
      </w:r>
      <w:r>
        <w:t>风险等级是指发生频率，发生频率较高的为</w:t>
      </w:r>
      <w:r>
        <w:rPr>
          <w:rFonts w:hint="eastAsia"/>
        </w:rPr>
        <w:t>★★★</w:t>
      </w:r>
      <w:r>
        <w:t>，发生频率一般的为</w:t>
      </w:r>
      <w:r>
        <w:rPr>
          <w:rFonts w:hint="eastAsia"/>
        </w:rPr>
        <w:t>★★</w:t>
      </w:r>
      <w:r>
        <w:t>，发生频率较少的为</w:t>
      </w:r>
      <w:r>
        <w:rPr>
          <w:rFonts w:hint="eastAsia"/>
        </w:rPr>
        <w:t>★</w:t>
      </w:r>
      <w:r>
        <w:t>。</w:t>
      </w:r>
    </w:p>
    <w:p>
      <w:pPr>
        <w:rPr>
          <w:rFonts w:hint="eastAsia"/>
          <w:lang w:val="en-US" w:eastAsia="zh-CN"/>
        </w:rPr>
      </w:pPr>
      <w:r>
        <w:rPr>
          <w:rFonts w:hint="eastAsia"/>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both"/>
        <w:textAlignment w:val="auto"/>
        <w:rPr>
          <w:rFonts w:hint="eastAsia" w:ascii="楷体" w:eastAsia="楷体"/>
          <w:sz w:val="28"/>
          <w:szCs w:val="28"/>
          <w:lang w:val="en-US" w:eastAsia="zh-CN"/>
        </w:rPr>
      </w:pPr>
      <w:r>
        <w:rPr>
          <w:rFonts w:hint="eastAsia" w:ascii="楷体" w:eastAsia="楷体"/>
          <w:sz w:val="28"/>
          <w:szCs w:val="28"/>
          <w:lang w:val="en-US" w:eastAsia="zh-CN"/>
        </w:rPr>
        <w:t>适用于从事道路运输经营的客货运企业：</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序号</w:t>
            </w:r>
          </w:p>
        </w:tc>
        <w:tc>
          <w:tcPr>
            <w:tcW w:w="1354" w:type="dxa"/>
            <w:tcMar>
              <w:top w:w="57" w:type="dxa"/>
              <w:left w:w="57" w:type="dxa"/>
              <w:bottom w:w="57" w:type="dxa"/>
              <w:right w:w="57" w:type="dxa"/>
            </w:tcMar>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合规事项</w:t>
            </w:r>
          </w:p>
        </w:tc>
        <w:tc>
          <w:tcPr>
            <w:tcW w:w="2180" w:type="dxa"/>
            <w:tcMar>
              <w:top w:w="57" w:type="dxa"/>
              <w:left w:w="57" w:type="dxa"/>
              <w:bottom w:w="57" w:type="dxa"/>
              <w:right w:w="57" w:type="dxa"/>
            </w:tcMar>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常见违法行为表现</w:t>
            </w:r>
          </w:p>
        </w:tc>
        <w:tc>
          <w:tcPr>
            <w:tcW w:w="5672" w:type="dxa"/>
            <w:tcMar>
              <w:top w:w="57" w:type="dxa"/>
              <w:left w:w="57" w:type="dxa"/>
              <w:bottom w:w="57" w:type="dxa"/>
              <w:right w:w="57" w:type="dxa"/>
            </w:tcMar>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法律依据及违法责任</w:t>
            </w:r>
          </w:p>
        </w:tc>
        <w:tc>
          <w:tcPr>
            <w:tcW w:w="750" w:type="dxa"/>
            <w:tcMar>
              <w:top w:w="57" w:type="dxa"/>
              <w:left w:w="57" w:type="dxa"/>
              <w:bottom w:w="57" w:type="dxa"/>
              <w:right w:w="57" w:type="dxa"/>
            </w:tcMar>
            <w:vAlign w:val="center"/>
          </w:tcPr>
          <w:p>
            <w:pPr>
              <w:pStyle w:val="16"/>
              <w:bidi w:val="0"/>
              <w:jc w:val="center"/>
              <w:rPr>
                <w:rFonts w:hint="eastAsia" w:ascii="黑体" w:hAnsi="黑体" w:eastAsia="黑体" w:cs="黑体"/>
                <w:b/>
                <w:bCs/>
                <w:sz w:val="20"/>
                <w:szCs w:val="20"/>
              </w:rPr>
            </w:pPr>
            <w:r>
              <w:rPr>
                <w:rFonts w:hint="eastAsia" w:ascii="黑体" w:hAnsi="黑体" w:eastAsia="黑体" w:cs="黑体"/>
                <w:b/>
                <w:bCs/>
                <w:sz w:val="20"/>
                <w:szCs w:val="20"/>
              </w:rPr>
              <w:t>风险</w:t>
            </w:r>
          </w:p>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等级</w:t>
            </w:r>
          </w:p>
        </w:tc>
        <w:tc>
          <w:tcPr>
            <w:tcW w:w="2631" w:type="dxa"/>
            <w:tcMar>
              <w:top w:w="57" w:type="dxa"/>
              <w:left w:w="57" w:type="dxa"/>
              <w:bottom w:w="57" w:type="dxa"/>
              <w:right w:w="57" w:type="dxa"/>
            </w:tcMar>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合规建议</w:t>
            </w:r>
          </w:p>
        </w:tc>
        <w:tc>
          <w:tcPr>
            <w:tcW w:w="1117" w:type="dxa"/>
            <w:tcMar>
              <w:top w:w="57" w:type="dxa"/>
              <w:left w:w="57" w:type="dxa"/>
              <w:bottom w:w="57" w:type="dxa"/>
              <w:right w:w="57" w:type="dxa"/>
            </w:tcMar>
            <w:vAlign w:val="center"/>
          </w:tcPr>
          <w:p>
            <w:pPr>
              <w:pStyle w:val="16"/>
              <w:bidi w:val="0"/>
              <w:jc w:val="center"/>
              <w:rPr>
                <w:rFonts w:hint="eastAsia" w:ascii="黑体" w:hAnsi="黑体" w:eastAsia="黑体" w:cs="黑体"/>
                <w:b/>
                <w:bCs/>
                <w:sz w:val="20"/>
                <w:szCs w:val="20"/>
              </w:rPr>
            </w:pPr>
            <w:r>
              <w:rPr>
                <w:rFonts w:hint="eastAsia" w:ascii="黑体" w:hAnsi="黑体" w:eastAsia="黑体" w:cs="黑体"/>
                <w:b/>
                <w:bCs/>
                <w:sz w:val="20"/>
                <w:szCs w:val="20"/>
              </w:rPr>
              <w:t>指导部门</w:t>
            </w:r>
          </w:p>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8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eastAsia"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安装卫星定位行车安全信息设备</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或者按照规定报送信息</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未按照规定报送卫星定位行车安全信息。</w:t>
            </w:r>
          </w:p>
        </w:tc>
        <w:tc>
          <w:tcPr>
            <w:tcW w:w="5672" w:type="dxa"/>
            <w:tcMar>
              <w:top w:w="57" w:type="dxa"/>
              <w:left w:w="57" w:type="dxa"/>
              <w:bottom w:w="57" w:type="dxa"/>
              <w:right w:w="57" w:type="dxa"/>
            </w:tcMar>
            <w:vAlign w:val="center"/>
          </w:tcPr>
          <w:p>
            <w:pPr>
              <w:pStyle w:val="16"/>
              <w:bidi w:val="0"/>
              <w:spacing w:line="240" w:lineRule="auto"/>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【地方性法规】《江苏省道路运输条例》（2017修正）</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第二十一条第一款  客运车辆、危险货物运输车辆、重型载货车辆、半挂牵引车辆应当安装并正常使用符合国家标准的卫星定位行车安全信息设备。相关道路运输经营者应当对其车辆运行情况进行实时监控，并保证其信息监控系统与道路运输管理机构的管理信息系统实时连通。</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第六十八条第（二）项  有下列情形之一的，由县级以上道路运输管理机构责令限期改正，处以一千元以上三千元以下罚款；情节严重的，可以并处吊销相应的道路运输经营许可证件、道路运输证件或者核减相应的经营范围：</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（二）未按照规定安装卫星定位行车安全信息设备，或者未按照规定报送信息的；</w:t>
            </w:r>
          </w:p>
        </w:tc>
        <w:tc>
          <w:tcPr>
            <w:tcW w:w="750" w:type="dxa"/>
            <w:tcMar>
              <w:top w:w="57" w:type="dxa"/>
              <w:left w:w="57" w:type="dxa"/>
              <w:bottom w:w="57" w:type="dxa"/>
              <w:right w:w="57" w:type="dxa"/>
            </w:tcMar>
            <w:vAlign w:val="center"/>
          </w:tcPr>
          <w:p>
            <w:pPr>
              <w:pStyle w:val="16"/>
              <w:bidi w:val="0"/>
              <w:spacing w:line="240" w:lineRule="auto"/>
              <w:jc w:val="center"/>
              <w:rPr>
                <w:rFonts w:hint="eastAsia" w:asciiTheme="minorEastAsia" w:hAnsiTheme="minorEastAsia" w:eastAsiaTheme="minorEastAsia" w:cstheme="minorEastAsia"/>
                <w:sz w:val="16"/>
                <w:szCs w:val="16"/>
                <w:lang w:val="en-US" w:eastAsia="zh-CN"/>
              </w:rPr>
            </w:pPr>
            <w:r>
              <w:rPr>
                <w:rFonts w:hint="eastAsia" w:asciiTheme="minorEastAsia" w:hAnsiTheme="minorEastAsia" w:eastAsiaTheme="minorEastAsia" w:cstheme="minorEastAsia"/>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按照规定安装卫星定位行车安全信息设备，或者按照规定报送信息。</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政策法规科81178915</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综合执法大队85800553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6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eastAsia"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按照规定参加年度审验</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经营者车辆未按照规定参加年度审验。</w:t>
            </w:r>
          </w:p>
        </w:tc>
        <w:tc>
          <w:tcPr>
            <w:tcW w:w="567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【地方性法规】《江苏省道路运输条例》（2017修正）</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第十三条  道路运输管理机构按照国家规定对道路运输经营者的经营条件以及营运车辆实行年度审验。</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第十六条第（一）项  道路运输以及相关业务经营者不得有下列行为：</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（一）使用未经年度审验或者年度审验不合格的车辆从事道路运输；</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第六十八条</w:t>
            </w:r>
            <w:r>
              <w:rPr>
                <w:rFonts w:hint="eastAsia" w:ascii="Times New Roman" w:hAnsi="Times New Roman" w:eastAsia="方正楷体_GBK" w:cs="Times New Roman"/>
                <w:sz w:val="16"/>
                <w:szCs w:val="16"/>
                <w:lang w:val="en-US" w:eastAsia="zh-CN"/>
              </w:rPr>
              <w:t>第（一）项</w:t>
            </w:r>
            <w:r>
              <w:rPr>
                <w:rFonts w:hint="default" w:ascii="Times New Roman" w:hAnsi="Times New Roman" w:eastAsia="方正楷体_GBK" w:cs="Times New Roman"/>
                <w:sz w:val="16"/>
                <w:szCs w:val="16"/>
                <w:lang w:val="en-US" w:eastAsia="zh-CN"/>
              </w:rPr>
              <w:t xml:space="preserve"> </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有下列情形之一的，由县级以上道路运输管理机构责令限期改正，处以一千元以上三千元以下罚款；情节严重的，可以并处吊销相应的道路运输经营许可证件、道路运输证件或者核减相应的经营范围：</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未按照规定参加年度审验的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eastAsia" w:asciiTheme="minorEastAsia" w:hAnsiTheme="minorEastAsia" w:eastAsiaTheme="minorEastAsia" w:cstheme="minorEastAsia"/>
                <w:sz w:val="16"/>
                <w:szCs w:val="16"/>
                <w:lang w:val="zh-CN" w:eastAsia="zh-CN"/>
              </w:rPr>
            </w:pPr>
            <w:r>
              <w:rPr>
                <w:rFonts w:hint="eastAsia" w:asciiTheme="minorEastAsia" w:hAnsiTheme="minorEastAsia" w:eastAsiaTheme="minorEastAsia" w:cstheme="minorEastAsia"/>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按照规定及时到行政审批局办理年度审验相关事宜。</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政策法规科81178915</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综合执法大队85800553</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pStyle w:val="16"/>
        <w:spacing w:before="4"/>
        <w:rPr>
          <w:rFonts w:ascii="楷体"/>
          <w:sz w:val="14"/>
        </w:rPr>
      </w:pPr>
    </w:p>
    <w:p>
      <w:pPr>
        <w:pStyle w:val="16"/>
        <w:spacing w:before="4"/>
        <w:rPr>
          <w:rFonts w:ascii="楷体"/>
          <w:sz w:val="14"/>
        </w:rPr>
      </w:pPr>
    </w:p>
    <w:p>
      <w:pPr>
        <w:rPr>
          <w:rFonts w:hint="eastAsia" w:ascii="楷体" w:eastAsia="楷体"/>
          <w:sz w:val="28"/>
          <w:szCs w:val="28"/>
          <w:lang w:val="en-US" w:eastAsia="zh-CN"/>
        </w:rPr>
      </w:pPr>
      <w:r>
        <w:rPr>
          <w:rFonts w:hint="eastAsia" w:ascii="楷体" w:eastAsia="楷体"/>
          <w:sz w:val="28"/>
          <w:szCs w:val="28"/>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ascii="楷体"/>
          <w:sz w:val="28"/>
          <w:szCs w:val="28"/>
        </w:rPr>
      </w:pPr>
      <w:r>
        <w:rPr>
          <w:rFonts w:hint="eastAsia" w:ascii="楷体" w:eastAsia="楷体"/>
          <w:sz w:val="28"/>
          <w:szCs w:val="28"/>
          <w:lang w:val="en-US" w:eastAsia="zh-CN"/>
        </w:rPr>
        <w:t>适用于从事道路运输经营的货运企业：</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2" w:hRule="atLeast"/>
        </w:trPr>
        <w:tc>
          <w:tcPr>
            <w:tcW w:w="653" w:type="dxa"/>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序号</w:t>
            </w:r>
          </w:p>
        </w:tc>
        <w:tc>
          <w:tcPr>
            <w:tcW w:w="1354" w:type="dxa"/>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合规事项</w:t>
            </w:r>
          </w:p>
        </w:tc>
        <w:tc>
          <w:tcPr>
            <w:tcW w:w="2180" w:type="dxa"/>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常见违法行为表现</w:t>
            </w:r>
          </w:p>
        </w:tc>
        <w:tc>
          <w:tcPr>
            <w:tcW w:w="5672" w:type="dxa"/>
            <w:vAlign w:val="center"/>
          </w:tcPr>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法律依据及违法责任</w:t>
            </w:r>
          </w:p>
        </w:tc>
        <w:tc>
          <w:tcPr>
            <w:tcW w:w="750" w:type="dxa"/>
            <w:vAlign w:val="center"/>
          </w:tcPr>
          <w:p>
            <w:pPr>
              <w:pStyle w:val="16"/>
              <w:bidi w:val="0"/>
              <w:jc w:val="center"/>
              <w:rPr>
                <w:rFonts w:hint="eastAsia" w:ascii="黑体" w:hAnsi="黑体" w:eastAsia="黑体" w:cs="黑体"/>
                <w:b/>
                <w:bCs/>
                <w:sz w:val="20"/>
                <w:szCs w:val="20"/>
              </w:rPr>
            </w:pPr>
            <w:r>
              <w:rPr>
                <w:rFonts w:hint="eastAsia" w:ascii="黑体" w:hAnsi="黑体" w:eastAsia="黑体" w:cs="黑体"/>
                <w:b/>
                <w:bCs/>
                <w:sz w:val="20"/>
                <w:szCs w:val="20"/>
              </w:rPr>
              <w:t>风险</w:t>
            </w:r>
          </w:p>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等级</w:t>
            </w:r>
          </w:p>
        </w:tc>
        <w:tc>
          <w:tcPr>
            <w:tcW w:w="2631" w:type="dxa"/>
            <w:vAlign w:val="center"/>
          </w:tcPr>
          <w:p>
            <w:pPr>
              <w:pStyle w:val="16"/>
              <w:bidi w:val="0"/>
              <w:jc w:val="center"/>
              <w:rPr>
                <w:rFonts w:hint="eastAsia" w:ascii="黑体" w:hAnsi="黑体" w:eastAsia="黑体" w:cs="黑体"/>
                <w:b/>
                <w:bCs/>
                <w:sz w:val="20"/>
                <w:szCs w:val="20"/>
                <w:lang w:val="zh-CN" w:eastAsia="zh-CN"/>
              </w:rPr>
            </w:pPr>
            <w:r>
              <w:rPr>
                <w:rFonts w:hint="eastAsia" w:ascii="黑体" w:hAnsi="黑体" w:eastAsia="黑体" w:cs="黑体"/>
                <w:b/>
                <w:bCs/>
                <w:sz w:val="20"/>
                <w:szCs w:val="20"/>
              </w:rPr>
              <w:t>合规建议</w:t>
            </w:r>
          </w:p>
        </w:tc>
        <w:tc>
          <w:tcPr>
            <w:tcW w:w="1117" w:type="dxa"/>
            <w:vAlign w:val="center"/>
          </w:tcPr>
          <w:p>
            <w:pPr>
              <w:pStyle w:val="16"/>
              <w:bidi w:val="0"/>
              <w:jc w:val="center"/>
              <w:rPr>
                <w:rFonts w:hint="eastAsia" w:ascii="黑体" w:hAnsi="黑体" w:eastAsia="黑体" w:cs="黑体"/>
                <w:b/>
                <w:bCs/>
                <w:sz w:val="20"/>
                <w:szCs w:val="20"/>
              </w:rPr>
            </w:pPr>
            <w:r>
              <w:rPr>
                <w:rFonts w:hint="eastAsia" w:ascii="黑体" w:hAnsi="黑体" w:eastAsia="黑体" w:cs="黑体"/>
                <w:b/>
                <w:bCs/>
                <w:sz w:val="20"/>
                <w:szCs w:val="20"/>
              </w:rPr>
              <w:t>指导部门</w:t>
            </w:r>
          </w:p>
          <w:p>
            <w:pPr>
              <w:pStyle w:val="16"/>
              <w:bidi w:val="0"/>
              <w:jc w:val="center"/>
              <w:rPr>
                <w:rFonts w:hint="eastAsia" w:ascii="黑体" w:hAnsi="黑体" w:eastAsia="黑体" w:cs="黑体"/>
                <w:b/>
                <w:bCs/>
                <w:sz w:val="20"/>
                <w:szCs w:val="20"/>
                <w:lang w:val="en-US" w:eastAsia="zh-CN"/>
              </w:rPr>
            </w:pPr>
            <w:r>
              <w:rPr>
                <w:rFonts w:hint="eastAsia" w:ascii="黑体" w:hAnsi="黑体" w:eastAsia="黑体" w:cs="黑体"/>
                <w:b/>
                <w:bCs/>
                <w:sz w:val="20"/>
                <w:szCs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665" w:hRule="atLeast"/>
        </w:trPr>
        <w:tc>
          <w:tcPr>
            <w:tcW w:w="653" w:type="dxa"/>
            <w:vAlign w:val="center"/>
          </w:tcPr>
          <w:p>
            <w:pPr>
              <w:pStyle w:val="16"/>
              <w:spacing w:before="1"/>
              <w:ind w:left="104" w:leftChars="0" w:right="87" w:rightChars="0"/>
              <w:jc w:val="center"/>
              <w:rPr>
                <w:rFonts w:hint="eastAsia" w:ascii="黑体" w:eastAsia="黑体"/>
                <w:b/>
                <w:sz w:val="20"/>
                <w:lang w:val="en-US" w:eastAsia="zh-CN"/>
              </w:rPr>
            </w:pPr>
            <w:r>
              <w:rPr>
                <w:rFonts w:hint="eastAsia"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在公路上行驶的车辆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车货总体的外廓尺寸、轴荷或者总质量不超过公路、公路桥梁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公路隧道</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汽车渡船限定标准</w:t>
            </w:r>
          </w:p>
        </w:tc>
        <w:tc>
          <w:tcPr>
            <w:tcW w:w="2180"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违法超限运输</w:t>
            </w:r>
            <w:r>
              <w:rPr>
                <w:rFonts w:hint="eastAsia" w:ascii="Times New Roman" w:hAnsi="Times New Roman" w:eastAsia="方正楷体_GBK" w:cs="Times New Roman"/>
                <w:sz w:val="16"/>
                <w:szCs w:val="16"/>
                <w:lang w:val="en-US" w:eastAsia="zh-CN"/>
              </w:rPr>
              <w:t>。</w:t>
            </w:r>
          </w:p>
        </w:tc>
        <w:tc>
          <w:tcPr>
            <w:tcW w:w="5672"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33"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【行政法规】《公路安全保护条例》</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第三十三条第一款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超过公路</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公路桥梁</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公路隧道限载</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限高</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限宽</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限长标准的车辆</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不得在公路</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公路桥梁或者公路隧道行驶</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超过汽车渡船限载、限高、限宽</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限长标准的车辆</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不得使用汽车渡船。</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第六十四条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违反本条例的规定，在公路上行驶的车辆，车货总体的外廓尺寸、轴荷或者总质量超过公路、公路桥梁、公路隧道、汽车渡船限定标准的，由公路管理机构责令改正，可以处3万元以下的罚款</w:t>
            </w:r>
            <w:r>
              <w:rPr>
                <w:rFonts w:hint="eastAsia" w:ascii="Times New Roman" w:hAnsi="Times New Roman" w:eastAsia="方正楷体_GBK" w:cs="Times New Roman"/>
                <w:sz w:val="16"/>
                <w:szCs w:val="16"/>
                <w:lang w:val="zh-CN" w:eastAsia="zh-CN"/>
              </w:rPr>
              <w:t>。</w:t>
            </w:r>
          </w:p>
          <w:p>
            <w:pPr>
              <w:pStyle w:val="16"/>
              <w:keepNext w:val="0"/>
              <w:keepLines w:val="0"/>
              <w:pageBreakBefore w:val="0"/>
              <w:widowControl w:val="0"/>
              <w:kinsoku/>
              <w:wordWrap/>
              <w:overflowPunct/>
              <w:topLinePunct w:val="0"/>
              <w:autoSpaceDE w:val="0"/>
              <w:autoSpaceDN w:val="0"/>
              <w:bidi w:val="0"/>
              <w:adjustRightInd/>
              <w:snapToGrid/>
              <w:spacing w:line="233"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【部门规章】《超限运输车辆行驶公路管理规定》（2021修正）</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本规定所称超限运输车辆，是指有下列情形之一的货物运输车辆：</w:t>
            </w:r>
          </w:p>
          <w:p>
            <w:pPr>
              <w:pStyle w:val="16"/>
              <w:keepNext w:val="0"/>
              <w:keepLines w:val="0"/>
              <w:pageBreakBefore w:val="0"/>
              <w:widowControl w:val="0"/>
              <w:kinsoku/>
              <w:wordWrap/>
              <w:overflowPunct/>
              <w:topLinePunct w:val="0"/>
              <w:autoSpaceDE w:val="0"/>
              <w:autoSpaceDN w:val="0"/>
              <w:bidi w:val="0"/>
              <w:adjustRightInd/>
              <w:snapToGrid/>
              <w:spacing w:line="233"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（一）车货总高度从地面算起超过4米；（二）车货总宽度超过2.55米；（三）车货总长度超过18.1米；（四）二轴货车，其车货总质量超过18000千克；（五）三轴货车，其车货总质量超过25000千克；三轴</w:t>
            </w:r>
            <w:r>
              <w:rPr>
                <w:rFonts w:hint="default" w:ascii="Times New Roman" w:hAnsi="Times New Roman" w:eastAsia="方正楷体_GBK" w:cs="Times New Roman"/>
                <w:sz w:val="16"/>
                <w:szCs w:val="16"/>
                <w:highlight w:val="none"/>
                <w:lang w:val="zh-CN" w:eastAsia="zh-CN"/>
              </w:rPr>
              <w:t>汽车列车</w:t>
            </w:r>
            <w:r>
              <w:rPr>
                <w:rFonts w:hint="default" w:ascii="Times New Roman" w:hAnsi="Times New Roman" w:eastAsia="方正楷体_GBK" w:cs="Times New Roman"/>
                <w:sz w:val="16"/>
                <w:szCs w:val="16"/>
                <w:lang w:val="zh-CN" w:eastAsia="zh-CN"/>
              </w:rPr>
              <w:t>，其车货总质量超过27000千克；（六）四轴货车，其车货总质量超过31000千克</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四轴汽车列车</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其车货总质量超过36000千克；（七）五轴汽车列车，其车货总质量超过43000千克；（八）六轴及六轴以上汽车列车，其车货总质量超过49000千克，其中牵引车驱动轴为单轴的，其车货总质量超过46000千克。</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前款规定的限定标准的认定，还应当遵守下列要求：（一）二轴组按照二个轴计算，三轴组按照三个轴计算；（二）除驱动轴外，二轴组、三轴组以及半挂车和全挂车的车轴每侧轮胎按照双轮胎计算，若每轴每侧轮胎为单轮胎，限定标准减少3000千克，但安装符合国家有关标准的加宽轮胎的除外；（三）车辆最大允许总质量不应超过各车轴最大允许轴荷之和；（四）拖拉机、农用车、低速货车，以行驶证核定的总质量为限定标准；（五）符合《汽车</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挂车及汽车列车外廓尺寸</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轴荷及质量限值》（GB1589）规定的冷藏车、汽车列车、安装空气悬架的车辆，以及专用作业车，不认定为超限运输车辆。</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第四十三条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车辆违法超限运输的，由公路管理机构根据违法行为的性质、情节和危害程度，按下列规定给予处罚：</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zh-CN" w:eastAsia="zh-CN"/>
              </w:rPr>
              <w:t>（</w:t>
            </w:r>
            <w:r>
              <w:rPr>
                <w:rFonts w:hint="eastAsia" w:ascii="Times New Roman" w:hAnsi="Times New Roman" w:eastAsia="方正楷体_GBK" w:cs="Times New Roman"/>
                <w:sz w:val="16"/>
                <w:szCs w:val="16"/>
                <w:lang w:val="en-US" w:eastAsia="zh-CN"/>
              </w:rPr>
              <w:t>一</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车货总高度从地面算起未超过4.2米、总宽度未超过3米且总长度未超过20米的，可以处200元以下罚款；车货总高度从地面算起未超过4.5米、总宽度未超过3.75米且总长度未超过28米的，处200元以上1000元以下罚款；车货总高度从地面算起超过4.5米、总宽度超过3.75米或者总长度超过28米的，处1000元以上3000元以下的罚款；</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（二）车货总质量超过本规定第三条第一款第四项至第八项规定的限定标准，但未超过1000千克的，予以警告；超过1000千克的，每超1000千克罚款500元，最高不得超过30000元。</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有前款所列多项违法行为的，相应违法行为的罚款数额应当累计，但累计罚款数额最高不得超过30000元。</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eastAsia" w:asciiTheme="minorEastAsia" w:hAnsiTheme="minorEastAsia" w:eastAsiaTheme="minorEastAsia" w:cstheme="minorEastAsia"/>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超过公路或者公路桥梁限载标准确需行驶的，必须经县级以上地方人民政府交通主管部门批准，并按要求采取有效的防护措施</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运载不可解体的超限物品的，应当按照指定的时间、路线、时速行驶，并悬挂明显标志。</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政策法规科81178915</w:t>
            </w:r>
          </w:p>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综合执法大队85800553</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br w:type="page"/>
      </w:r>
    </w:p>
    <w:p>
      <w:pPr>
        <w:pStyle w:val="2"/>
        <w:bidi w:val="0"/>
        <w:ind w:left="0" w:leftChars="0" w:firstLine="0" w:firstLineChars="0"/>
        <w:jc w:val="center"/>
        <w:rPr>
          <w:rFonts w:hint="eastAsia" w:ascii="方正小标宋_GBK" w:hAnsi="方正小标宋_GBK" w:eastAsia="方正小标宋_GBK" w:cs="方正小标宋_GBK"/>
          <w:sz w:val="44"/>
          <w:szCs w:val="44"/>
          <w:lang w:val="en-US" w:eastAsia="zh-CN"/>
        </w:rPr>
      </w:pPr>
      <w:bookmarkStart w:id="3" w:name="_Toc32695"/>
      <w:r>
        <w:rPr>
          <w:rFonts w:hint="eastAsia" w:ascii="方正小标宋_GBK" w:hAnsi="方正小标宋_GBK" w:eastAsia="方正小标宋_GBK" w:cs="方正小标宋_GBK"/>
          <w:sz w:val="44"/>
          <w:szCs w:val="44"/>
          <w:lang w:val="en-US" w:eastAsia="zh-CN"/>
        </w:rPr>
        <w:t>无锡市滨湖区教育局涉企行政合规指导清单</w:t>
      </w:r>
      <w:bookmarkEnd w:id="3"/>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适用于民办学校：</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4" w:hRule="atLeast"/>
        </w:trPr>
        <w:tc>
          <w:tcPr>
            <w:tcW w:w="653" w:type="dxa"/>
            <w:vAlign w:val="center"/>
          </w:tcPr>
          <w:p>
            <w:pPr>
              <w:pStyle w:val="16"/>
              <w:spacing w:before="1"/>
              <w:ind w:left="104" w:leftChars="0" w:right="87" w:rightChars="0"/>
              <w:jc w:val="center"/>
              <w:rPr>
                <w:rFonts w:hint="eastAsia" w:ascii="黑体" w:eastAsia="黑体"/>
                <w:b/>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民办学校</w:t>
            </w:r>
            <w:r>
              <w:rPr>
                <w:rFonts w:hint="eastAsia" w:ascii="Times New Roman" w:hAnsi="Times New Roman" w:eastAsia="方正楷体_GBK" w:cs="Times New Roman"/>
                <w:sz w:val="16"/>
                <w:szCs w:val="16"/>
                <w:lang w:val="en-US" w:eastAsia="zh-CN"/>
              </w:rPr>
              <w:t>不得</w:t>
            </w:r>
            <w:r>
              <w:rPr>
                <w:rFonts w:hint="default" w:ascii="Times New Roman" w:hAnsi="Times New Roman" w:eastAsia="方正楷体_GBK" w:cs="Times New Roman"/>
                <w:sz w:val="16"/>
                <w:szCs w:val="16"/>
                <w:lang w:val="en-US" w:eastAsia="zh-CN"/>
              </w:rPr>
              <w:t>擅自改变名称、层次、类别和举办者</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民办学校擅自改变名称、层次、类别和举办者</w:t>
            </w:r>
            <w:r>
              <w:rPr>
                <w:rFonts w:hint="eastAsia" w:ascii="Times New Roman" w:hAnsi="Times New Roman" w:eastAsia="方正楷体_GBK" w:cs="Times New Roman"/>
                <w:sz w:val="16"/>
                <w:szCs w:val="16"/>
                <w:lang w:val="en-US" w:eastAsia="zh-CN"/>
              </w:rPr>
              <w:t>。</w:t>
            </w:r>
          </w:p>
        </w:tc>
        <w:tc>
          <w:tcPr>
            <w:tcW w:w="567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【法律】《中华人民共和国民办教育促进法》（2018修正）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w:t>
            </w:r>
            <w:r>
              <w:rPr>
                <w:rFonts w:hint="eastAsia" w:ascii="Times New Roman" w:hAnsi="Times New Roman" w:eastAsia="方正楷体_GBK" w:cs="Times New Roman"/>
                <w:sz w:val="16"/>
                <w:szCs w:val="16"/>
                <w:lang w:val="en-US" w:eastAsia="zh-CN"/>
              </w:rPr>
              <w:t>：</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　　（一）擅自分立、合并民办学校的；</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　　（二）擅自改变民办学校名称、层次、类别和举办者的；</w:t>
            </w:r>
          </w:p>
          <w:p>
            <w:pPr>
              <w:pStyle w:val="16"/>
              <w:bidi w:val="0"/>
              <w:spacing w:line="240" w:lineRule="auto"/>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【行政法规】</w:t>
            </w:r>
            <w:r>
              <w:rPr>
                <w:rFonts w:hint="default" w:ascii="Times New Roman" w:hAnsi="Times New Roman" w:eastAsia="方正楷体_GBK" w:cs="Times New Roman"/>
                <w:sz w:val="16"/>
                <w:szCs w:val="16"/>
                <w:lang w:val="en-US" w:eastAsia="zh-CN"/>
              </w:rPr>
              <w:t>《中华人民共和国民办教育促进法实施条例》</w:t>
            </w:r>
            <w:r>
              <w:rPr>
                <w:rFonts w:hint="eastAsia" w:ascii="Times New Roman" w:hAnsi="Times New Roman" w:eastAsia="方正楷体_GBK" w:cs="Times New Roman"/>
                <w:sz w:val="16"/>
                <w:szCs w:val="16"/>
                <w:lang w:val="en-US" w:eastAsia="zh-CN"/>
              </w:rPr>
              <w:t>（2021修订）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民办学校举办者及实际控制人、决策机构或者监督机构组成人员有下列情形之一的，由县级以上人民政府教育行政部门、人力资源社会保障行政部门或者其他有关部门依据职责分工责令限期改正，有违法所得的，退还所收费用后没收违法所得；情节严重的，1至5年内不得新成为民办学校举办者或实际控制人、决策机构或者监督机构组成人员；情节特别严重、社会影响恶劣的，永久不得新成为民办学校举办者或实际控制人、决策机构或者监督机构组成人员；构成违反治安管理行为的，由公安机关依法给予治安管理处罚；构成犯罪的，依法追究刑事责任：</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（一）利用办学非法集资，或者收取与入学关联的费用的；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（二）未按时、足额履行出资义务，或者抽逃出资、挪用办学经费的；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（三）侵占学校法人财产或者非法从学校获取利益的；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（四）与实施义务教育的民办学校进行关联交易，或者与其他民办学校进行关联交易损害国家利益、学校利益和师生权益的；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（五）伪造、变造、买卖、出租、出借办学许可证的；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（六）干扰学校办学秩序或者非法干预学校决策、管理的；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（七）擅自变更学校名称、层次、类型和举办者的；</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（八）有其他危害学校稳定和安全、侵犯学校法人权利或者损害教职工、受教育者权益的行为的。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eastAsia" w:asciiTheme="minorEastAsia" w:hAnsiTheme="minorEastAsia" w:eastAsiaTheme="minorEastAsia" w:cstheme="minorEastAsia"/>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民办学校在准备改变名称、层次、类别和举办者之前，及时申请相关项目的变更。</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行政许可服务科</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81178602</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br w:type="page"/>
      </w:r>
    </w:p>
    <w:p>
      <w:pPr>
        <w:pStyle w:val="2"/>
        <w:bidi w:val="0"/>
        <w:ind w:left="0" w:leftChars="0" w:firstLine="0" w:firstLineChars="0"/>
        <w:jc w:val="center"/>
        <w:rPr>
          <w:rFonts w:hint="eastAsia" w:ascii="方正小标宋_GBK" w:hAnsi="方正小标宋_GBK" w:eastAsia="方正小标宋_GBK" w:cs="方正小标宋_GBK"/>
          <w:sz w:val="44"/>
          <w:szCs w:val="44"/>
          <w:lang w:val="en-US" w:eastAsia="zh-CN"/>
        </w:rPr>
      </w:pPr>
      <w:bookmarkStart w:id="4" w:name="_Toc23492"/>
      <w:r>
        <w:rPr>
          <w:rFonts w:hint="eastAsia" w:ascii="方正小标宋_GBK" w:hAnsi="方正小标宋_GBK" w:eastAsia="方正小标宋_GBK" w:cs="方正小标宋_GBK"/>
          <w:sz w:val="44"/>
          <w:szCs w:val="44"/>
          <w:lang w:val="en-US" w:eastAsia="zh-CN"/>
        </w:rPr>
        <w:t>无锡市滨湖区农业农村局涉企行政合规指导清单</w:t>
      </w:r>
      <w:bookmarkEnd w:id="4"/>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适用于农药生产经营单位：</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46" w:hRule="atLeast"/>
        </w:trPr>
        <w:tc>
          <w:tcPr>
            <w:tcW w:w="653" w:type="dxa"/>
            <w:vAlign w:val="center"/>
          </w:tcPr>
          <w:p>
            <w:pPr>
              <w:pStyle w:val="16"/>
              <w:spacing w:before="1"/>
              <w:ind w:left="104" w:leftChars="0" w:right="87" w:rightChars="0"/>
              <w:jc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农资经营单位不得经营劣质农药</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1.经营的农药不符合农药产品质量标准</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2.经营的农药超过农药质量保证期。</w:t>
            </w:r>
          </w:p>
        </w:tc>
        <w:tc>
          <w:tcPr>
            <w:tcW w:w="5672" w:type="dxa"/>
            <w:tcMar>
              <w:top w:w="57" w:type="dxa"/>
              <w:left w:w="57" w:type="dxa"/>
              <w:bottom w:w="57" w:type="dxa"/>
              <w:right w:w="57" w:type="dxa"/>
            </w:tcMar>
            <w:vAlign w:val="center"/>
          </w:tcPr>
          <w:p>
            <w:pPr>
              <w:pStyle w:val="16"/>
              <w:bidi w:val="0"/>
              <w:spacing w:line="240" w:lineRule="auto"/>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【行政法规】</w:t>
            </w:r>
            <w:r>
              <w:rPr>
                <w:rFonts w:hint="default" w:ascii="Times New Roman" w:hAnsi="Times New Roman" w:eastAsia="方正楷体_GBK" w:cs="Times New Roman"/>
                <w:sz w:val="16"/>
                <w:szCs w:val="16"/>
                <w:lang w:val="en-US" w:eastAsia="zh-CN"/>
              </w:rPr>
              <w:t>《农药管理条例》</w:t>
            </w:r>
            <w:r>
              <w:rPr>
                <w:rFonts w:hint="eastAsia" w:ascii="Times New Roman" w:hAnsi="Times New Roman" w:eastAsia="方正楷体_GBK" w:cs="Times New Roman"/>
                <w:sz w:val="16"/>
                <w:szCs w:val="16"/>
                <w:lang w:val="en-US" w:eastAsia="zh-CN"/>
              </w:rPr>
              <w:t>（2022修订）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有下列情形之一的，认定为劣质农药</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（一）不符合农药产品质量标准</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（二）混有导致药害等有害成分。</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超过农药质量保证期的农药，按照劣质农药处理。</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农药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的，由发证机关吊销农药经营许可证；构成犯罪的，依法追究刑事责任。</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1.农资经营单位在进货时需仔细查看供货商资质，仔细查看标签上的农药登记证号，或是登陆</w:t>
            </w:r>
            <w:r>
              <w:rPr>
                <w:rFonts w:hint="eastAsia" w:ascii="方正楷体_GBK" w:hAnsi="方正楷体_GBK" w:eastAsia="方正楷体_GBK" w:cs="方正楷体_GBK"/>
                <w:sz w:val="16"/>
                <w:szCs w:val="16"/>
                <w:lang w:val="en-US" w:eastAsia="zh-CN"/>
              </w:rPr>
              <w:t>“中国农药信息网”</w:t>
            </w:r>
            <w:r>
              <w:rPr>
                <w:rFonts w:hint="default" w:ascii="Times New Roman" w:hAnsi="Times New Roman" w:eastAsia="方正楷体_GBK" w:cs="Times New Roman"/>
                <w:sz w:val="16"/>
                <w:szCs w:val="16"/>
                <w:lang w:val="en-US" w:eastAsia="zh-CN"/>
              </w:rPr>
              <w:t>（http://www.chinapesticide.org.cn/）查询，并保存好进货凭证。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2.及时做好农药查验工作，防止超过农药质量保证期的农药上架销售。</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农业综合行政执法大队81173056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95" w:hRule="atLeast"/>
        </w:trPr>
        <w:tc>
          <w:tcPr>
            <w:tcW w:w="653" w:type="dxa"/>
            <w:vAlign w:val="center"/>
          </w:tcPr>
          <w:p>
            <w:pPr>
              <w:pStyle w:val="16"/>
              <w:spacing w:before="1"/>
              <w:ind w:left="104" w:leftChars="0" w:right="87" w:rightChars="0"/>
              <w:jc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农资经营单位不得经营假农药</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1.经营的农药添加其他隐性成分；</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2.经营无农药登记证的卫生用杀虫剂。</w:t>
            </w:r>
          </w:p>
        </w:tc>
        <w:tc>
          <w:tcPr>
            <w:tcW w:w="567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【行政法规】《农药管理条例》（2022修订）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第四十四条  有下列情形之一的，认定为假农药：</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（一）以非农药冒充农药；</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（二）以此种农药冒充他种农药；</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（三）农药所含有效成分种类与农药的标签、说明书标注的有效成分不符。</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禁用的农药，未依法取得农药登记证而生产、进口的农药，以及未附具标签的农药，按照假农药处理。</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第五十五条  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pPr>
              <w:pStyle w:val="16"/>
              <w:numPr>
                <w:ilvl w:val="0"/>
                <w:numId w:val="2"/>
              </w:numPr>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违反本条例规定，未取得农药经营许可证经营农药；</w:t>
            </w:r>
          </w:p>
          <w:p>
            <w:pPr>
              <w:pStyle w:val="16"/>
              <w:numPr>
                <w:ilvl w:val="0"/>
                <w:numId w:val="2"/>
              </w:numPr>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经营假农药</w:t>
            </w:r>
            <w:r>
              <w:rPr>
                <w:rFonts w:hint="default" w:ascii="Times New Roman" w:hAnsi="Times New Roman" w:eastAsia="方正楷体_GBK" w:cs="Times New Roman"/>
                <w:sz w:val="16"/>
                <w:szCs w:val="16"/>
                <w:lang w:val="en-US" w:eastAsia="zh-CN"/>
              </w:rPr>
              <w:t>；</w:t>
            </w:r>
          </w:p>
          <w:p>
            <w:pPr>
              <w:pStyle w:val="16"/>
              <w:numPr>
                <w:ilvl w:val="0"/>
                <w:numId w:val="2"/>
              </w:numPr>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在农药中添加物质</w:t>
            </w:r>
            <w:r>
              <w:rPr>
                <w:rFonts w:hint="default" w:ascii="Times New Roman" w:hAnsi="Times New Roman" w:eastAsia="方正楷体_GBK" w:cs="Times New Roman"/>
                <w:sz w:val="16"/>
                <w:szCs w:val="16"/>
                <w:lang w:val="en-US" w:eastAsia="zh-CN"/>
              </w:rPr>
              <w:t>。</w:t>
            </w:r>
          </w:p>
          <w:p>
            <w:pPr>
              <w:pStyle w:val="16"/>
              <w:numPr>
                <w:ilvl w:val="0"/>
                <w:numId w:val="0"/>
              </w:numPr>
              <w:bidi w:val="0"/>
              <w:spacing w:line="240" w:lineRule="auto"/>
              <w:ind w:right="0" w:rightChars="0"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有前款第二项、第三项规定的行为，情节严重的，还应当由发证机关吊销农药经营许可证。</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1.农资经营单位在进货时需仔细查看供货商资质，仔细查看标签上的农药登记证号，或是登陆</w:t>
            </w:r>
            <w:r>
              <w:rPr>
                <w:rFonts w:hint="eastAsia" w:ascii="方正楷体_GBK" w:hAnsi="方正楷体_GBK" w:eastAsia="方正楷体_GBK" w:cs="方正楷体_GBK"/>
                <w:sz w:val="16"/>
                <w:szCs w:val="16"/>
                <w:lang w:val="en-US" w:eastAsia="zh-CN"/>
              </w:rPr>
              <w:t>“中国农药信息网”</w:t>
            </w:r>
            <w:r>
              <w:rPr>
                <w:rFonts w:hint="default" w:ascii="Times New Roman" w:hAnsi="Times New Roman" w:eastAsia="方正楷体_GBK" w:cs="Times New Roman"/>
                <w:sz w:val="16"/>
                <w:szCs w:val="16"/>
                <w:lang w:val="en-US" w:eastAsia="zh-CN"/>
              </w:rPr>
              <w:t>（http://www.chinapesticide.org.cn/）查询，并保存好进货凭证。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2.农资经营单位应</w:t>
            </w:r>
            <w:r>
              <w:rPr>
                <w:rFonts w:hint="eastAsia" w:ascii="Times New Roman" w:hAnsi="Times New Roman" w:eastAsia="方正楷体_GBK" w:cs="Times New Roman"/>
                <w:sz w:val="16"/>
                <w:szCs w:val="16"/>
                <w:highlight w:val="none"/>
                <w:lang w:val="en-US" w:eastAsia="zh-CN"/>
              </w:rPr>
              <w:t>增强法律意识</w:t>
            </w:r>
            <w:r>
              <w:rPr>
                <w:rFonts w:hint="default" w:ascii="Times New Roman" w:hAnsi="Times New Roman" w:eastAsia="方正楷体_GBK" w:cs="Times New Roman"/>
                <w:sz w:val="16"/>
                <w:szCs w:val="16"/>
                <w:lang w:val="en-US" w:eastAsia="zh-CN"/>
              </w:rPr>
              <w:t>，拒绝参与假农药经营。</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农业综合行政执法大队81173056</w:t>
            </w:r>
          </w:p>
        </w:tc>
      </w:tr>
    </w:tbl>
    <w:p>
      <w:pPr>
        <w:pStyle w:val="16"/>
        <w:spacing w:before="4"/>
        <w:rPr>
          <w:rFonts w:ascii="楷体"/>
          <w:sz w:val="14"/>
        </w:rPr>
      </w:pPr>
      <w:r>
        <w:rPr>
          <w:rFonts w:ascii="楷体"/>
          <w:sz w:val="14"/>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7"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04" w:hRule="atLeast"/>
        </w:trPr>
        <w:tc>
          <w:tcPr>
            <w:tcW w:w="653" w:type="dxa"/>
            <w:vAlign w:val="center"/>
          </w:tcPr>
          <w:p>
            <w:pPr>
              <w:pStyle w:val="16"/>
              <w:spacing w:before="1"/>
              <w:ind w:left="104" w:leftChars="0" w:right="87" w:rightChars="0"/>
              <w:jc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3</w:t>
            </w:r>
          </w:p>
        </w:tc>
        <w:tc>
          <w:tcPr>
            <w:tcW w:w="1354" w:type="dxa"/>
            <w:tcMar>
              <w:top w:w="57" w:type="dxa"/>
              <w:left w:w="57" w:type="dxa"/>
              <w:bottom w:w="57" w:type="dxa"/>
              <w:right w:w="57" w:type="dxa"/>
            </w:tcMar>
            <w:vAlign w:val="center"/>
          </w:tcPr>
          <w:p>
            <w:pPr>
              <w:overflowPunct w:val="0"/>
              <w:adjustRightInd w:val="0"/>
              <w:spacing w:line="240" w:lineRule="auto"/>
              <w:ind w:left="0" w:leftChars="0" w:right="0" w:right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农资经营单位不得向未取得农药生产许可证的农药生产企业或者未取得农药经营许可证的其他农药经营者采购农药</w:t>
            </w:r>
          </w:p>
        </w:tc>
        <w:tc>
          <w:tcPr>
            <w:tcW w:w="2180" w:type="dxa"/>
            <w:tcMar>
              <w:top w:w="57" w:type="dxa"/>
              <w:left w:w="57" w:type="dxa"/>
              <w:bottom w:w="57" w:type="dxa"/>
              <w:right w:w="57" w:type="dxa"/>
            </w:tcMar>
            <w:vAlign w:val="center"/>
          </w:tcPr>
          <w:p>
            <w:pPr>
              <w:overflowPunct w:val="0"/>
              <w:adjustRightInd w:val="0"/>
              <w:spacing w:line="240" w:lineRule="auto"/>
              <w:ind w:firstLine="320" w:firstLineChars="200"/>
              <w:jc w:val="both"/>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1.向未取得农药生产许可证的农药生产企业采购农药</w:t>
            </w:r>
            <w:r>
              <w:rPr>
                <w:rFonts w:hint="eastAsia" w:ascii="Times New Roman" w:hAnsi="Times New Roman" w:eastAsia="方正楷体_GBK" w:cs="Times New Roman"/>
                <w:sz w:val="16"/>
                <w:szCs w:val="16"/>
                <w:lang w:val="en-US" w:eastAsia="zh-CN" w:bidi="zh-CN"/>
              </w:rPr>
              <w:t>；</w:t>
            </w:r>
          </w:p>
          <w:p>
            <w:pPr>
              <w:overflowPunct w:val="0"/>
              <w:adjustRightInd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2.向未取得农药经营许可证的其他农药经营者采购农药。</w:t>
            </w:r>
          </w:p>
        </w:tc>
        <w:tc>
          <w:tcPr>
            <w:tcW w:w="5672" w:type="dxa"/>
            <w:tcMar>
              <w:top w:w="57" w:type="dxa"/>
              <w:left w:w="57" w:type="dxa"/>
              <w:bottom w:w="57" w:type="dxa"/>
              <w:right w:w="57" w:type="dxa"/>
            </w:tcMar>
            <w:vAlign w:val="center"/>
          </w:tcPr>
          <w:p>
            <w:pPr>
              <w:keepNext w:val="0"/>
              <w:keepLines w:val="0"/>
              <w:widowControl/>
              <w:suppressLineNumbers w:val="0"/>
              <w:spacing w:line="240" w:lineRule="auto"/>
              <w:ind w:left="0" w:leftChars="0" w:right="0" w:rightChars="0"/>
              <w:jc w:val="both"/>
              <w:textAlignment w:val="center"/>
              <w:rPr>
                <w:rFonts w:hint="eastAsia" w:ascii="Times New Roman" w:hAnsi="Times New Roman" w:eastAsia="方正楷体_GBK" w:cs="Times New Roman"/>
                <w:sz w:val="16"/>
                <w:szCs w:val="16"/>
                <w:lang w:val="en-US" w:eastAsia="zh-CN" w:bidi="zh-CN"/>
              </w:rPr>
            </w:pPr>
            <w:r>
              <w:rPr>
                <w:rFonts w:hint="eastAsia" w:ascii="Times New Roman" w:hAnsi="Times New Roman" w:eastAsia="方正楷体_GBK" w:cs="Times New Roman"/>
                <w:sz w:val="16"/>
                <w:szCs w:val="16"/>
                <w:lang w:val="en-US" w:eastAsia="zh-CN" w:bidi="zh-CN"/>
              </w:rPr>
              <w:t>【行政法规】</w:t>
            </w:r>
            <w:r>
              <w:rPr>
                <w:rFonts w:hint="default" w:ascii="Times New Roman" w:hAnsi="Times New Roman" w:eastAsia="方正楷体_GBK" w:cs="Times New Roman"/>
                <w:sz w:val="16"/>
                <w:szCs w:val="16"/>
                <w:lang w:val="en-US" w:eastAsia="zh-CN" w:bidi="zh-CN"/>
              </w:rPr>
              <w:t>《农药管理条例》</w:t>
            </w:r>
            <w:r>
              <w:rPr>
                <w:rFonts w:hint="eastAsia" w:ascii="Times New Roman" w:hAnsi="Times New Roman" w:eastAsia="方正楷体_GBK" w:cs="Times New Roman"/>
                <w:sz w:val="16"/>
                <w:szCs w:val="16"/>
                <w:lang w:val="en-US" w:eastAsia="zh-CN" w:bidi="zh-CN"/>
              </w:rPr>
              <w:t>（2022修订）</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第二十六条第一款</w:t>
            </w:r>
            <w:r>
              <w:rPr>
                <w:rFonts w:hint="eastAsia" w:ascii="Times New Roman" w:hAnsi="Times New Roman" w:eastAsia="方正楷体_GBK" w:cs="Times New Roman"/>
                <w:sz w:val="16"/>
                <w:szCs w:val="16"/>
                <w:lang w:val="en-US" w:eastAsia="zh-CN" w:bidi="zh-CN"/>
              </w:rPr>
              <w:t xml:space="preserve">  </w:t>
            </w:r>
            <w:r>
              <w:rPr>
                <w:rFonts w:hint="default" w:ascii="Times New Roman" w:hAnsi="Times New Roman" w:eastAsia="方正楷体_GBK" w:cs="Times New Roman"/>
                <w:sz w:val="16"/>
                <w:szCs w:val="16"/>
                <w:lang w:val="en-US" w:eastAsia="zh-CN" w:bidi="zh-CN"/>
              </w:rPr>
              <w:t>农药经营者采购农药应当查验产品包装</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标签</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产品质量检验合格证以及有关许可证明文件</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不得向未取得农药生产许可证的农药生产企业或者未取得农药经营许可证的其他农药经营者采购农药</w:t>
            </w:r>
            <w:r>
              <w:rPr>
                <w:rFonts w:hint="eastAsia" w:ascii="Times New Roman" w:hAnsi="Times New Roman" w:eastAsia="方正楷体_GBK" w:cs="Times New Roman"/>
                <w:sz w:val="16"/>
                <w:szCs w:val="16"/>
                <w:lang w:val="en-US" w:eastAsia="zh-CN" w:bidi="zh-CN"/>
              </w:rPr>
              <w:t>。</w:t>
            </w:r>
          </w:p>
        </w:tc>
        <w:tc>
          <w:tcPr>
            <w:tcW w:w="750" w:type="dxa"/>
            <w:tcMar>
              <w:top w:w="57" w:type="dxa"/>
              <w:left w:w="57" w:type="dxa"/>
              <w:bottom w:w="57" w:type="dxa"/>
              <w:right w:w="57" w:type="dxa"/>
            </w:tcMar>
            <w:vAlign w:val="center"/>
          </w:tcPr>
          <w:p>
            <w:pPr>
              <w:overflowPunct w:val="0"/>
              <w:autoSpaceDE w:val="0"/>
              <w:autoSpaceDN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w:t>
            </w:r>
          </w:p>
        </w:tc>
        <w:tc>
          <w:tcPr>
            <w:tcW w:w="2631" w:type="dxa"/>
            <w:tcMar>
              <w:top w:w="57" w:type="dxa"/>
              <w:left w:w="57" w:type="dxa"/>
              <w:bottom w:w="57" w:type="dxa"/>
              <w:right w:w="57" w:type="dxa"/>
            </w:tcMar>
            <w:vAlign w:val="center"/>
          </w:tcPr>
          <w:p>
            <w:pPr>
              <w:overflowPunct w:val="0"/>
              <w:adjustRightInd w:val="0"/>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农资经营单位在采购农药时需查验产品包装、标签、产品质量检验合格证，查看供货方是否有农药生产许可证或农药经营许可证，并保存好进货凭证。</w:t>
            </w:r>
          </w:p>
        </w:tc>
        <w:tc>
          <w:tcPr>
            <w:tcW w:w="1117" w:type="dxa"/>
            <w:tcMar>
              <w:top w:w="57" w:type="dxa"/>
              <w:left w:w="57" w:type="dxa"/>
              <w:bottom w:w="57" w:type="dxa"/>
              <w:right w:w="57" w:type="dxa"/>
            </w:tcMar>
            <w:vAlign w:val="center"/>
          </w:tcPr>
          <w:p>
            <w:pPr>
              <w:overflowPunct w:val="0"/>
              <w:adjustRightInd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农业综合行政执法大队81173056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23" w:hRule="atLeast"/>
        </w:trPr>
        <w:tc>
          <w:tcPr>
            <w:tcW w:w="653" w:type="dxa"/>
            <w:vAlign w:val="center"/>
          </w:tcPr>
          <w:p>
            <w:pPr>
              <w:pStyle w:val="16"/>
              <w:spacing w:before="1"/>
              <w:ind w:left="104" w:leftChars="0" w:right="87" w:rightChars="0"/>
              <w:jc w:val="center"/>
              <w:rPr>
                <w:rFonts w:hint="default" w:ascii="Times New Roman" w:hAnsi="Times New Roman" w:eastAsia="方正楷体_GBK" w:cs="Times New Roman"/>
                <w:sz w:val="16"/>
                <w:szCs w:val="16"/>
                <w:lang w:val="en-US" w:eastAsia="zh-CN" w:bidi="zh-CN"/>
              </w:rPr>
            </w:pPr>
            <w:r>
              <w:rPr>
                <w:rFonts w:hint="eastAsia" w:ascii="Times New Roman" w:hAnsi="Times New Roman" w:eastAsia="方正楷体_GBK" w:cs="Times New Roman"/>
                <w:sz w:val="16"/>
                <w:szCs w:val="16"/>
                <w:lang w:val="en-US" w:eastAsia="zh-CN" w:bidi="zh-CN"/>
              </w:rPr>
              <w:t>4</w:t>
            </w:r>
          </w:p>
        </w:tc>
        <w:tc>
          <w:tcPr>
            <w:tcW w:w="1354" w:type="dxa"/>
            <w:tcMar>
              <w:top w:w="57" w:type="dxa"/>
              <w:left w:w="57" w:type="dxa"/>
              <w:bottom w:w="57" w:type="dxa"/>
              <w:right w:w="57" w:type="dxa"/>
            </w:tcMar>
            <w:vAlign w:val="center"/>
          </w:tcPr>
          <w:p>
            <w:pPr>
              <w:overflowPunct w:val="0"/>
              <w:adjustRightInd w:val="0"/>
              <w:spacing w:line="240" w:lineRule="auto"/>
              <w:ind w:left="0" w:leftChars="0" w:right="0" w:right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肥料生产、经营单位生产或销售的肥料有效成分含量须与登记批准的内容相符</w:t>
            </w:r>
          </w:p>
        </w:tc>
        <w:tc>
          <w:tcPr>
            <w:tcW w:w="2180" w:type="dxa"/>
            <w:tcMar>
              <w:top w:w="57" w:type="dxa"/>
              <w:left w:w="57" w:type="dxa"/>
              <w:bottom w:w="57" w:type="dxa"/>
              <w:right w:w="57" w:type="dxa"/>
            </w:tcMar>
            <w:vAlign w:val="center"/>
          </w:tcPr>
          <w:p>
            <w:pPr>
              <w:overflowPunct w:val="0"/>
              <w:adjustRightInd w:val="0"/>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肥料有效成分含量与登记批准内容不符。</w:t>
            </w:r>
          </w:p>
        </w:tc>
        <w:tc>
          <w:tcPr>
            <w:tcW w:w="5672" w:type="dxa"/>
            <w:tcMar>
              <w:top w:w="57" w:type="dxa"/>
              <w:left w:w="57" w:type="dxa"/>
              <w:bottom w:w="57" w:type="dxa"/>
              <w:right w:w="57" w:type="dxa"/>
            </w:tcMar>
            <w:vAlign w:val="center"/>
          </w:tcPr>
          <w:p>
            <w:pPr>
              <w:keepNext w:val="0"/>
              <w:keepLines w:val="0"/>
              <w:widowControl/>
              <w:suppressLineNumbers w:val="0"/>
              <w:spacing w:line="240" w:lineRule="auto"/>
              <w:ind w:left="0" w:leftChars="0" w:right="0" w:rightChars="0"/>
              <w:jc w:val="both"/>
              <w:textAlignment w:val="center"/>
              <w:rPr>
                <w:rFonts w:hint="eastAsia" w:ascii="Times New Roman" w:hAnsi="Times New Roman" w:eastAsia="方正楷体_GBK" w:cs="Times New Roman"/>
                <w:sz w:val="16"/>
                <w:szCs w:val="16"/>
                <w:lang w:val="en-US" w:eastAsia="zh-CN" w:bidi="zh-CN"/>
              </w:rPr>
            </w:pPr>
            <w:r>
              <w:rPr>
                <w:rFonts w:hint="eastAsia" w:ascii="Times New Roman" w:hAnsi="Times New Roman" w:eastAsia="方正楷体_GBK" w:cs="Times New Roman"/>
                <w:sz w:val="16"/>
                <w:szCs w:val="16"/>
                <w:lang w:val="en-US" w:eastAsia="zh-CN" w:bidi="zh-CN"/>
              </w:rPr>
              <w:t>【部门规章】</w:t>
            </w:r>
            <w:r>
              <w:rPr>
                <w:rFonts w:hint="default" w:ascii="Times New Roman" w:hAnsi="Times New Roman" w:eastAsia="方正楷体_GBK" w:cs="Times New Roman"/>
                <w:sz w:val="16"/>
                <w:szCs w:val="16"/>
                <w:lang w:val="en-US" w:eastAsia="zh-CN" w:bidi="zh-CN"/>
              </w:rPr>
              <w:t>《肥料登记管理办法》</w:t>
            </w:r>
            <w:r>
              <w:rPr>
                <w:rFonts w:hint="eastAsia" w:ascii="Times New Roman" w:hAnsi="Times New Roman" w:eastAsia="方正楷体_GBK" w:cs="Times New Roman"/>
                <w:sz w:val="16"/>
                <w:szCs w:val="16"/>
                <w:lang w:val="en-US" w:eastAsia="zh-CN" w:bidi="zh-CN"/>
              </w:rPr>
              <w:t>（2022修订）</w:t>
            </w:r>
          </w:p>
          <w:p>
            <w:pPr>
              <w:keepNext w:val="0"/>
              <w:keepLines w:val="0"/>
              <w:widowControl/>
              <w:suppressLineNumbers w:val="0"/>
              <w:spacing w:line="240" w:lineRule="auto"/>
              <w:ind w:left="0" w:leftChars="0" w:right="0" w:rightChars="0" w:firstLine="320" w:firstLineChars="200"/>
              <w:jc w:val="both"/>
              <w:textAlignment w:val="center"/>
              <w:rPr>
                <w:rFonts w:hint="eastAsia"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第二十六条</w:t>
            </w:r>
            <w:r>
              <w:rPr>
                <w:rFonts w:hint="eastAsia" w:ascii="Times New Roman" w:hAnsi="Times New Roman" w:eastAsia="方正楷体_GBK" w:cs="Times New Roman"/>
                <w:sz w:val="16"/>
                <w:szCs w:val="16"/>
                <w:lang w:val="en-US" w:eastAsia="zh-CN" w:bidi="zh-CN"/>
              </w:rPr>
              <w:t>第（三）项</w:t>
            </w:r>
            <w:r>
              <w:rPr>
                <w:rFonts w:hint="default" w:ascii="Times New Roman" w:hAnsi="Times New Roman" w:eastAsia="方正楷体_GBK" w:cs="Times New Roman"/>
                <w:sz w:val="16"/>
                <w:szCs w:val="16"/>
                <w:lang w:val="en-US" w:eastAsia="zh-CN" w:bidi="zh-CN"/>
              </w:rPr>
              <w:t xml:space="preserve"> </w:t>
            </w:r>
            <w:r>
              <w:rPr>
                <w:rFonts w:hint="eastAsia" w:ascii="Times New Roman" w:hAnsi="Times New Roman" w:eastAsia="方正楷体_GBK" w:cs="Times New Roman"/>
                <w:sz w:val="16"/>
                <w:szCs w:val="16"/>
                <w:lang w:val="en-US" w:eastAsia="zh-CN" w:bidi="zh-CN"/>
              </w:rPr>
              <w:t xml:space="preserve"> </w:t>
            </w:r>
            <w:r>
              <w:rPr>
                <w:rFonts w:hint="default" w:ascii="Times New Roman" w:hAnsi="Times New Roman" w:eastAsia="方正楷体_GBK" w:cs="Times New Roman"/>
                <w:sz w:val="16"/>
                <w:szCs w:val="16"/>
                <w:lang w:val="en-US" w:eastAsia="zh-CN" w:bidi="zh-CN"/>
              </w:rPr>
              <w:t>有下列情形之一的，由县级以上农业农村主管部门给予警告，并处违法所得3倍以下罚款，但最高不得超过30000元；没有违法所得的，处10000元以下罚款</w:t>
            </w:r>
            <w:r>
              <w:rPr>
                <w:rFonts w:hint="eastAsia" w:ascii="Times New Roman" w:hAnsi="Times New Roman" w:eastAsia="方正楷体_GBK" w:cs="Times New Roman"/>
                <w:sz w:val="16"/>
                <w:szCs w:val="16"/>
                <w:lang w:val="en-US" w:eastAsia="zh-CN" w:bidi="zh-CN"/>
              </w:rPr>
              <w:t>：</w:t>
            </w:r>
          </w:p>
          <w:p>
            <w:pPr>
              <w:keepNext w:val="0"/>
              <w:keepLines w:val="0"/>
              <w:widowControl/>
              <w:suppressLineNumbers w:val="0"/>
              <w:spacing w:line="240" w:lineRule="auto"/>
              <w:ind w:left="0" w:leftChars="0" w:right="0" w:rightChars="0" w:firstLine="320" w:firstLineChars="200"/>
              <w:jc w:val="both"/>
              <w:textAlignment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（三）生产、销售的肥料产品有效成分或含量与登记批准的内容不符的。</w:t>
            </w:r>
          </w:p>
        </w:tc>
        <w:tc>
          <w:tcPr>
            <w:tcW w:w="750" w:type="dxa"/>
            <w:tcMar>
              <w:top w:w="57" w:type="dxa"/>
              <w:left w:w="57" w:type="dxa"/>
              <w:bottom w:w="57" w:type="dxa"/>
              <w:right w:w="57" w:type="dxa"/>
            </w:tcMar>
            <w:vAlign w:val="center"/>
          </w:tcPr>
          <w:p>
            <w:pPr>
              <w:overflowPunct w:val="0"/>
              <w:autoSpaceDE w:val="0"/>
              <w:autoSpaceDN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w:t>
            </w:r>
          </w:p>
        </w:tc>
        <w:tc>
          <w:tcPr>
            <w:tcW w:w="2631" w:type="dxa"/>
            <w:tcMar>
              <w:top w:w="57" w:type="dxa"/>
              <w:left w:w="57" w:type="dxa"/>
              <w:bottom w:w="57" w:type="dxa"/>
              <w:right w:w="57" w:type="dxa"/>
            </w:tcMar>
            <w:vAlign w:val="center"/>
          </w:tcPr>
          <w:p>
            <w:pPr>
              <w:overflowPunct w:val="0"/>
              <w:adjustRightInd w:val="0"/>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生产者应严格把控产品的生产质量</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保证产品有效成分含量与批准内容相符</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经营者应从正规渠道进货，最大限度确保进货产品的质量。</w:t>
            </w:r>
          </w:p>
        </w:tc>
        <w:tc>
          <w:tcPr>
            <w:tcW w:w="1117" w:type="dxa"/>
            <w:tcMar>
              <w:top w:w="57" w:type="dxa"/>
              <w:left w:w="57" w:type="dxa"/>
              <w:bottom w:w="57" w:type="dxa"/>
              <w:right w:w="57" w:type="dxa"/>
            </w:tcMar>
            <w:vAlign w:val="center"/>
          </w:tcPr>
          <w:p>
            <w:pPr>
              <w:overflowPunct w:val="0"/>
              <w:adjustRightInd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农业综合行政执法大队81173056</w:t>
            </w:r>
          </w:p>
        </w:tc>
      </w:tr>
    </w:tbl>
    <w:p>
      <w:pPr>
        <w:pStyle w:val="3"/>
        <w:spacing w:before="73"/>
        <w:ind w:left="441"/>
        <w:rPr>
          <w:rFonts w:hint="eastAsia" w:eastAsia="楷体"/>
          <w:lang w:eastAsia="zh-CN"/>
        </w:rPr>
      </w:pPr>
      <w:r>
        <w:t>备注：</w:t>
      </w:r>
      <w:r>
        <w:rPr>
          <w:rFonts w:ascii="Times New Roman" w:eastAsia="Times New Roman"/>
        </w:rPr>
        <w:t>1.</w:t>
      </w:r>
      <w:r>
        <w:t>本清单并未涵盖所有违法违规行为</w:t>
      </w:r>
      <w:r>
        <w:rPr>
          <w:rFonts w:hint="eastAsia"/>
          <w:lang w:eastAsia="zh-CN"/>
        </w:rPr>
        <w:t>；</w:t>
      </w:r>
      <w:r>
        <w:t>合规建议仅为行政指导，不作为企业免责依据</w:t>
      </w:r>
      <w:r>
        <w:rPr>
          <w:rFonts w:hint="eastAsia"/>
          <w:lang w:eastAsia="zh-CN"/>
        </w:rPr>
        <w:t>。</w:t>
      </w:r>
    </w:p>
    <w:p>
      <w:pPr>
        <w:pStyle w:val="3"/>
        <w:spacing w:before="85"/>
        <w:ind w:left="1041"/>
        <w:rPr>
          <w:rFonts w:hint="eastAsia" w:eastAsia="宋体"/>
          <w:lang w:eastAsia="zh-CN"/>
        </w:rPr>
      </w:pPr>
      <w:r>
        <w:rPr>
          <w:rFonts w:ascii="Times New Roman" w:hAnsi="Times New Roman" w:eastAsia="Times New Roman"/>
        </w:rPr>
        <w:t>2.</w:t>
      </w:r>
      <w:r>
        <w:t>风险等级是指发生频率，发生频率较高的为</w:t>
      </w:r>
      <w:r>
        <w:rPr>
          <w:rFonts w:hint="eastAsia" w:ascii="宋体" w:hAnsi="宋体" w:eastAsia="宋体"/>
        </w:rPr>
        <w:t>★★★</w:t>
      </w:r>
      <w:r>
        <w:rPr>
          <w:rFonts w:hint="eastAsia" w:eastAsia="宋体"/>
          <w:lang w:eastAsia="zh-CN"/>
        </w:rPr>
        <w:t>，</w:t>
      </w:r>
      <w:r>
        <w:t>发生频率一般的为</w:t>
      </w:r>
      <w:r>
        <w:rPr>
          <w:rFonts w:hint="eastAsia" w:ascii="宋体" w:hAnsi="宋体" w:eastAsia="宋体"/>
        </w:rPr>
        <w:t>★★</w:t>
      </w:r>
      <w:r>
        <w:rPr>
          <w:rFonts w:hint="eastAsia" w:eastAsia="宋体"/>
          <w:lang w:eastAsia="zh-CN"/>
        </w:rPr>
        <w:t>，</w:t>
      </w:r>
      <w:r>
        <w:t>发生频率较少的为</w:t>
      </w:r>
      <w:r>
        <w:rPr>
          <w:rFonts w:hint="eastAsia" w:ascii="宋体" w:hAnsi="宋体" w:eastAsia="宋体"/>
        </w:rPr>
        <w:t>★</w:t>
      </w:r>
      <w:r>
        <w:rPr>
          <w:rFonts w:hint="eastAsia" w:eastAsia="宋体"/>
          <w:lang w:eastAsia="zh-CN"/>
        </w:rPr>
        <w:t>。</w:t>
      </w:r>
    </w:p>
    <w:p>
      <w:pPr>
        <w:rPr>
          <w:rFonts w:hint="eastAsia"/>
          <w:lang w:val="en-US" w:eastAsia="zh-CN"/>
        </w:rPr>
      </w:pPr>
      <w:r>
        <w:rPr>
          <w:rFonts w:hint="eastAsia"/>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default" w:ascii="楷体" w:eastAsia="楷体"/>
          <w:sz w:val="28"/>
          <w:szCs w:val="28"/>
          <w:lang w:val="en-US" w:eastAsia="zh-CN"/>
        </w:rPr>
      </w:pPr>
      <w:r>
        <w:rPr>
          <w:rFonts w:hint="eastAsia" w:ascii="楷体" w:eastAsia="楷体"/>
          <w:sz w:val="28"/>
          <w:szCs w:val="28"/>
          <w:lang w:val="en-US" w:eastAsia="zh-CN"/>
        </w:rPr>
        <w:t>适用于农药使用单位：</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7"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0" w:hRule="atLeast"/>
        </w:trPr>
        <w:tc>
          <w:tcPr>
            <w:tcW w:w="653"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农药使用单位应按照农药的标签标注的使用范围、使用方法和剂量、使用技术要求和注意事项使用农药</w:t>
            </w:r>
          </w:p>
        </w:tc>
        <w:tc>
          <w:tcPr>
            <w:tcW w:w="2180"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1.超范围使用农药；</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2.超剂量使用农药；</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3.未到安全间隔期即收获农产品。</w:t>
            </w:r>
          </w:p>
        </w:tc>
        <w:tc>
          <w:tcPr>
            <w:tcW w:w="5672"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【行政法规】《农药管理条例》（2022修订）</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第三十四条第一款  农药使用者应当严格按照农药的标签标注的使用范围、使用方法和剂量、使用技术要求和注意事项使用农药，不得扩大使用范围、加大用药剂量或者改变使用方法。</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第六十条</w:t>
            </w:r>
            <w:r>
              <w:rPr>
                <w:rFonts w:hint="eastAsia" w:ascii="Times New Roman" w:hAnsi="Times New Roman" w:eastAsia="方正楷体_GBK" w:cs="Times New Roman"/>
                <w:sz w:val="16"/>
                <w:szCs w:val="16"/>
                <w:lang w:val="en-US" w:eastAsia="zh-CN"/>
              </w:rPr>
              <w:t>第一款第（一）项</w:t>
            </w:r>
            <w:r>
              <w:rPr>
                <w:rFonts w:hint="default" w:ascii="Times New Roman" w:hAnsi="Times New Roman" w:eastAsia="方正楷体_GBK" w:cs="Times New Roman"/>
                <w:sz w:val="16"/>
                <w:szCs w:val="16"/>
                <w:lang w:val="en-US" w:eastAsia="zh-CN"/>
              </w:rPr>
              <w:t xml:space="preserve">  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（一）不按照农药的标签标注的使用范围、使用方法和剂量、使用技术要求和注意事项、安全间隔期使用农药；</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包括农产品生产单位在内的农药使用单位应</w:t>
            </w:r>
            <w:r>
              <w:rPr>
                <w:rFonts w:hint="eastAsia" w:ascii="Times New Roman" w:hAnsi="Times New Roman" w:eastAsia="方正楷体_GBK" w:cs="Times New Roman"/>
                <w:sz w:val="16"/>
                <w:szCs w:val="16"/>
                <w:highlight w:val="none"/>
                <w:lang w:val="en-US" w:eastAsia="zh-CN"/>
              </w:rPr>
              <w:t>增强法律意识</w:t>
            </w:r>
            <w:r>
              <w:rPr>
                <w:rFonts w:hint="default" w:ascii="Times New Roman" w:hAnsi="Times New Roman" w:eastAsia="方正楷体_GBK" w:cs="Times New Roman"/>
                <w:sz w:val="16"/>
                <w:szCs w:val="16"/>
                <w:lang w:val="en-US" w:eastAsia="zh-CN"/>
              </w:rPr>
              <w:t>和安全意识，严格按照农药的标签标注的使用范围、使用方法和剂量、使用技术要求和注意事项使用农药。</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农业综合行政执法大队81173056</w:t>
            </w:r>
          </w:p>
        </w:tc>
      </w:tr>
    </w:tbl>
    <w:p>
      <w:pPr>
        <w:pStyle w:val="3"/>
        <w:spacing w:before="73"/>
        <w:ind w:left="441"/>
      </w:pPr>
      <w:r>
        <w:t>备注：</w:t>
      </w:r>
      <w:r>
        <w:rPr>
          <w:rFonts w:hint="default" w:ascii="Times New Roman" w:hAnsi="Times New Roman" w:cs="Times New Roman"/>
        </w:rPr>
        <w:t>1.</w:t>
      </w:r>
      <w:r>
        <w:t>本清单并未涵盖所有违法违规行为；合规建议仅为行政指导，不作为企业免责依据。</w:t>
      </w:r>
    </w:p>
    <w:p>
      <w:pPr>
        <w:pStyle w:val="3"/>
        <w:spacing w:before="73"/>
        <w:ind w:left="441" w:firstLine="600" w:firstLineChars="300"/>
      </w:pPr>
      <w:r>
        <w:rPr>
          <w:rFonts w:hint="default" w:ascii="Times New Roman" w:hAnsi="Times New Roman" w:cs="Times New Roman"/>
        </w:rPr>
        <w:t>2.</w:t>
      </w:r>
      <w:r>
        <w:t>风险等级是指发生频率，发生频率较高的为</w:t>
      </w:r>
      <w:r>
        <w:rPr>
          <w:rFonts w:hint="eastAsia"/>
        </w:rPr>
        <w:t>★★★</w:t>
      </w:r>
      <w:r>
        <w:t>，发生频率一般的为</w:t>
      </w:r>
      <w:r>
        <w:rPr>
          <w:rFonts w:hint="eastAsia"/>
        </w:rPr>
        <w:t>★★</w:t>
      </w:r>
      <w:r>
        <w:t>，发生频率较少的为</w:t>
      </w:r>
      <w:r>
        <w:rPr>
          <w:rFonts w:hint="eastAsia"/>
        </w:rPr>
        <w:t>★</w:t>
      </w:r>
      <w:r>
        <w:t>。</w:t>
      </w:r>
    </w:p>
    <w:p>
      <w:pPr>
        <w:pStyle w:val="16"/>
        <w:spacing w:before="4"/>
        <w:rPr>
          <w:rFonts w:ascii="楷体"/>
          <w:sz w:val="14"/>
        </w:rPr>
      </w:pPr>
      <w:r>
        <w:rPr>
          <w:rFonts w:ascii="楷体"/>
          <w:sz w:val="14"/>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适用于农产品生产单位：</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98" w:hRule="atLeast"/>
        </w:trPr>
        <w:tc>
          <w:tcPr>
            <w:tcW w:w="653" w:type="dxa"/>
            <w:vAlign w:val="center"/>
          </w:tcPr>
          <w:p>
            <w:pPr>
              <w:pStyle w:val="16"/>
              <w:spacing w:before="1"/>
              <w:ind w:left="104" w:leftChars="0" w:right="87" w:rightChars="0"/>
              <w:jc w:val="center"/>
              <w:rPr>
                <w:rFonts w:hint="default" w:ascii="方正楷体_GBK" w:hAnsi="方正楷体_GBK" w:eastAsia="方正楷体_GBK" w:cs="方正楷体_GBK"/>
                <w:sz w:val="16"/>
                <w:szCs w:val="16"/>
                <w:lang w:val="en-US" w:eastAsia="zh-CN" w:bidi="zh-CN"/>
              </w:rPr>
            </w:pPr>
            <w:r>
              <w:rPr>
                <w:rFonts w:hint="eastAsia" w:ascii="Times New Roman" w:hAnsi="Times New Roman" w:eastAsia="方正楷体_GBK" w:cs="Times New Roman"/>
                <w:sz w:val="16"/>
                <w:szCs w:val="16"/>
                <w:lang w:val="en-US" w:eastAsia="zh-CN" w:bidi="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农产品生产单位不得收获、屠宰、捕捞未达到安全间隔期、休药期的农产品</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收获</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屠宰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捕捞未达到安全间隔期</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休药期的农产品。</w:t>
            </w:r>
          </w:p>
        </w:tc>
        <w:tc>
          <w:tcPr>
            <w:tcW w:w="5672" w:type="dxa"/>
            <w:tcMar>
              <w:top w:w="57" w:type="dxa"/>
              <w:left w:w="57" w:type="dxa"/>
              <w:bottom w:w="57" w:type="dxa"/>
              <w:right w:w="57" w:type="dxa"/>
            </w:tcMar>
            <w:vAlign w:val="center"/>
          </w:tcPr>
          <w:p>
            <w:pPr>
              <w:pStyle w:val="16"/>
              <w:bidi w:val="0"/>
              <w:spacing w:line="240" w:lineRule="auto"/>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【地方性法规】</w:t>
            </w:r>
            <w:r>
              <w:rPr>
                <w:rFonts w:hint="default" w:ascii="Times New Roman" w:hAnsi="Times New Roman" w:eastAsia="方正楷体_GBK" w:cs="Times New Roman"/>
                <w:sz w:val="16"/>
                <w:szCs w:val="16"/>
                <w:lang w:val="en-US" w:eastAsia="zh-CN"/>
              </w:rPr>
              <w:t>《江苏省农产品质量安全条例》</w:t>
            </w:r>
            <w:r>
              <w:rPr>
                <w:rFonts w:hint="eastAsia" w:ascii="Times New Roman" w:hAnsi="Times New Roman" w:eastAsia="方正楷体_GBK" w:cs="Times New Roman"/>
                <w:sz w:val="16"/>
                <w:szCs w:val="16"/>
                <w:lang w:val="en-US" w:eastAsia="zh-CN"/>
              </w:rPr>
              <w:t>（2021修正）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第十九条</w:t>
            </w:r>
            <w:r>
              <w:rPr>
                <w:rFonts w:hint="eastAsia" w:ascii="Times New Roman" w:hAnsi="Times New Roman" w:eastAsia="方正楷体_GBK" w:cs="Times New Roman"/>
                <w:sz w:val="16"/>
                <w:szCs w:val="16"/>
                <w:lang w:val="en-US" w:eastAsia="zh-CN"/>
              </w:rPr>
              <w:t>第（五）项</w:t>
            </w:r>
            <w:r>
              <w:rPr>
                <w:rFonts w:hint="default" w:ascii="Times New Roman" w:hAnsi="Times New Roman" w:eastAsia="方正楷体_GBK" w:cs="Times New Roman"/>
                <w:sz w:val="16"/>
                <w:szCs w:val="16"/>
                <w:lang w:val="en-US" w:eastAsia="zh-CN"/>
              </w:rPr>
              <w:t xml:space="preserve"> </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农产品生产中禁止下列行为：</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（五）收获、屠宰、捕捞未达到安全间隔期、休药期的农产品；</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第四十三条</w:t>
            </w:r>
            <w:r>
              <w:rPr>
                <w:rFonts w:hint="eastAsia" w:ascii="Times New Roman" w:hAnsi="Times New Roman" w:eastAsia="方正楷体_GBK" w:cs="Times New Roman"/>
                <w:sz w:val="16"/>
                <w:szCs w:val="16"/>
                <w:lang w:val="en-US" w:eastAsia="zh-CN"/>
              </w:rPr>
              <w:t xml:space="preserve">第一款第（三）项 </w:t>
            </w:r>
            <w:r>
              <w:rPr>
                <w:rFonts w:hint="default" w:ascii="Times New Roman" w:hAnsi="Times New Roman" w:eastAsia="方正楷体_GBK" w:cs="Times New Roman"/>
                <w:sz w:val="16"/>
                <w:szCs w:val="16"/>
                <w:lang w:val="en-US" w:eastAsia="zh-CN"/>
              </w:rPr>
              <w:t xml:space="preserve"> 违反本条例第十九条规定，在农产品生产过程中有下列行为之一的，由县级以上地方人民政府农业农村行政主管部门责令停止违法行为，并对农产品进行无害化处理，对个人处以五百元以上一千元以下罚款，对单位处以五千元以上二万元以下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构成犯罪的，依法追究刑事责任</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（三）收获、屠宰、捕捞未达到安全间隔期或者休药期的农产品的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农产品生产单位应</w:t>
            </w:r>
            <w:r>
              <w:rPr>
                <w:rFonts w:hint="eastAsia" w:ascii="Times New Roman" w:hAnsi="Times New Roman" w:eastAsia="方正楷体_GBK" w:cs="Times New Roman"/>
                <w:sz w:val="16"/>
                <w:szCs w:val="16"/>
                <w:highlight w:val="none"/>
                <w:lang w:val="en-US" w:eastAsia="zh-CN"/>
              </w:rPr>
              <w:t>增强法律意识</w:t>
            </w:r>
            <w:r>
              <w:rPr>
                <w:rFonts w:hint="default" w:ascii="Times New Roman" w:hAnsi="Times New Roman" w:eastAsia="方正楷体_GBK" w:cs="Times New Roman"/>
                <w:sz w:val="16"/>
                <w:szCs w:val="16"/>
                <w:lang w:val="en-US" w:eastAsia="zh-CN"/>
              </w:rPr>
              <w:t>和安全意识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严格按照农药、兽药安全间隔期</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休药期的要求收获</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屠宰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捕捞农产品。</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渔政牧政科（兽药）</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81173051</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农业综合行政执法大队</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（农药）</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81173056</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pStyle w:val="3"/>
        <w:spacing w:before="0"/>
        <w:jc w:val="both"/>
        <w:rPr>
          <w:rFonts w:hint="default" w:ascii="方正楷体_GBK" w:hAnsi="方正楷体_GBK" w:eastAsia="方正楷体_GBK" w:cs="方正楷体_GBK"/>
          <w:sz w:val="16"/>
          <w:szCs w:val="16"/>
          <w:lang w:val="en-US" w:eastAsia="zh-CN" w:bidi="zh-CN"/>
        </w:rPr>
      </w:pPr>
    </w:p>
    <w:p>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default" w:ascii="楷体" w:eastAsia="楷体"/>
          <w:sz w:val="28"/>
          <w:szCs w:val="28"/>
          <w:lang w:val="en-US" w:eastAsia="zh-CN"/>
        </w:rPr>
      </w:pPr>
      <w:r>
        <w:rPr>
          <w:rFonts w:hint="eastAsia" w:ascii="楷体" w:eastAsia="楷体"/>
          <w:sz w:val="28"/>
          <w:szCs w:val="28"/>
          <w:lang w:val="en-US" w:eastAsia="zh-CN"/>
        </w:rPr>
        <w:t>适用于动物诊疗机构：</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180"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72" w:type="dxa"/>
            <w:vAlign w:val="top"/>
          </w:tcPr>
          <w:p>
            <w:pPr>
              <w:pStyle w:val="16"/>
              <w:spacing w:before="4"/>
              <w:rPr>
                <w:rFonts w:ascii="楷体"/>
                <w:sz w:val="14"/>
              </w:rPr>
            </w:pPr>
          </w:p>
          <w:p>
            <w:pPr>
              <w:pStyle w:val="16"/>
              <w:spacing w:before="1"/>
              <w:ind w:left="1908" w:leftChars="0" w:right="1895" w:rightChars="0"/>
              <w:jc w:val="center"/>
              <w:rPr>
                <w:rFonts w:hint="eastAsia" w:ascii="黑体" w:hAnsi="宋体" w:eastAsia="黑体" w:cs="宋体"/>
                <w:b/>
                <w:sz w:val="20"/>
                <w:szCs w:val="22"/>
                <w:lang w:val="en-US" w:eastAsia="zh-CN" w:bidi="zh-CN"/>
              </w:rPr>
            </w:pPr>
            <w:r>
              <w:rPr>
                <w:rFonts w:hint="eastAsia" w:ascii="黑体" w:eastAsia="黑体"/>
                <w:b/>
                <w:sz w:val="20"/>
              </w:rPr>
              <w:t>法律依据及违法责任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99" w:hRule="atLeast"/>
        </w:trPr>
        <w:tc>
          <w:tcPr>
            <w:tcW w:w="653" w:type="dxa"/>
            <w:vAlign w:val="center"/>
          </w:tcPr>
          <w:p>
            <w:pPr>
              <w:pStyle w:val="16"/>
              <w:spacing w:before="1"/>
              <w:ind w:left="104" w:leftChars="0" w:right="87" w:rightChars="0"/>
              <w:jc w:val="center"/>
              <w:rPr>
                <w:rFonts w:hint="eastAsia" w:ascii="方正楷体_GBK" w:hAnsi="方正楷体_GBK" w:eastAsia="方正楷体_GBK" w:cs="方正楷体_GBK"/>
                <w:sz w:val="16"/>
                <w:szCs w:val="16"/>
                <w:lang w:val="en-US" w:eastAsia="zh-CN" w:bidi="zh-CN"/>
              </w:rPr>
            </w:pPr>
            <w:r>
              <w:rPr>
                <w:rFonts w:hint="default" w:ascii="Times New Roman" w:hAnsi="Times New Roman" w:eastAsia="方正楷体_GBK" w:cs="Times New Roman"/>
                <w:sz w:val="16"/>
                <w:szCs w:val="16"/>
                <w:lang w:val="en-US" w:eastAsia="zh-CN" w:bidi="zh-CN"/>
              </w:rPr>
              <w:t>1</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从事经营性动物诊疗活动的个人应当取得执业兽医资格证书</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并向所在地县级人民政府农业农村主管部门备案</w:t>
            </w:r>
          </w:p>
        </w:tc>
        <w:tc>
          <w:tcPr>
            <w:tcW w:w="2180"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1.个人未通过国家执业兽医资格考试</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从事动物诊疗等经营活动</w:t>
            </w:r>
            <w:r>
              <w:rPr>
                <w:rFonts w:hint="eastAsia" w:ascii="Times New Roman" w:hAnsi="Times New Roman" w:eastAsia="方正楷体_GBK" w:cs="Times New Roman"/>
                <w:sz w:val="16"/>
                <w:szCs w:val="16"/>
                <w:lang w:val="en-US"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2.个人虽取得执业兽医资格证书</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但未向所在地县级人民政府农业农村主管部门备案</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从事动物诊疗等经营活动</w:t>
            </w:r>
            <w:r>
              <w:rPr>
                <w:rFonts w:hint="eastAsia" w:ascii="Times New Roman" w:hAnsi="Times New Roman" w:eastAsia="方正楷体_GBK" w:cs="Times New Roman"/>
                <w:sz w:val="16"/>
                <w:szCs w:val="16"/>
                <w:lang w:val="en-US" w:eastAsia="zh-CN"/>
              </w:rPr>
              <w:t>。</w:t>
            </w:r>
          </w:p>
        </w:tc>
        <w:tc>
          <w:tcPr>
            <w:tcW w:w="5672" w:type="dxa"/>
            <w:tcMar>
              <w:top w:w="57" w:type="dxa"/>
              <w:left w:w="57" w:type="dxa"/>
              <w:bottom w:w="57" w:type="dxa"/>
              <w:right w:w="57" w:type="dxa"/>
            </w:tcMar>
            <w:vAlign w:val="center"/>
          </w:tcPr>
          <w:p>
            <w:pPr>
              <w:pStyle w:val="16"/>
              <w:bidi w:val="0"/>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【法律】</w:t>
            </w:r>
            <w:r>
              <w:rPr>
                <w:rFonts w:hint="default" w:ascii="Times New Roman" w:hAnsi="Times New Roman" w:eastAsia="方正楷体_GBK" w:cs="Times New Roman"/>
                <w:sz w:val="16"/>
                <w:szCs w:val="16"/>
                <w:lang w:val="en-US" w:eastAsia="zh-CN"/>
              </w:rPr>
              <w:t>《中华人民共和国动物防疫法》</w:t>
            </w:r>
            <w:r>
              <w:rPr>
                <w:rFonts w:hint="eastAsia" w:ascii="Times New Roman" w:hAnsi="Times New Roman" w:eastAsia="方正楷体_GBK" w:cs="Times New Roman"/>
                <w:sz w:val="16"/>
                <w:szCs w:val="16"/>
                <w:lang w:val="en-US" w:eastAsia="zh-CN"/>
              </w:rPr>
              <w:t>（2021修订）</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第六十九条第一款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国家实行执业兽医资格考试制度。具有兽医相关专业大学专科以上学历的人员或者符合条件的乡村兽医，通过执业兽医资格考试的，由省、自治区、直辖市人民政府农业农村主管部门颁发执业兽医资格证书；从事动物诊疗等经营活动的，还应当向所在地县级人民政府农业农村主管部门备案。</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第一百零六条第一款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 xml:space="preserve"> 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动物诊疗机构应落实主体责任</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加强内部管理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确保本单位从事动物诊疗活动的人员已取得执业兽医资格证书</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并已向所在地县级人民政府农业农村主管部门备案</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取得助理执业兽医师资格的人员为诊疗辅助人员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不得单独从事动物诊疗活动</w:t>
            </w:r>
            <w:r>
              <w:rPr>
                <w:rFonts w:hint="eastAsia" w:ascii="Times New Roman" w:hAnsi="Times New Roman" w:eastAsia="方正楷体_GBK" w:cs="Times New Roman"/>
                <w:sz w:val="16"/>
                <w:szCs w:val="16"/>
                <w:lang w:val="en-US" w:eastAsia="zh-CN"/>
              </w:rPr>
              <w:t>。</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渔政牧政科81173051</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p>
      <w:pPr>
        <w:pStyle w:val="2"/>
        <w:bidi w:val="0"/>
        <w:ind w:left="0" w:leftChars="0" w:firstLine="0" w:firstLineChars="0"/>
        <w:jc w:val="center"/>
        <w:rPr>
          <w:rFonts w:hint="eastAsia" w:ascii="方正小标宋_GBK" w:hAnsi="方正小标宋_GBK" w:eastAsia="方正小标宋_GBK" w:cs="方正小标宋_GBK"/>
          <w:sz w:val="44"/>
          <w:szCs w:val="44"/>
          <w:lang w:val="en-US" w:eastAsia="zh-CN"/>
        </w:rPr>
      </w:pPr>
      <w:bookmarkStart w:id="5" w:name="_Toc24197"/>
      <w:r>
        <w:rPr>
          <w:rFonts w:hint="eastAsia" w:ascii="方正小标宋_GBK" w:hAnsi="方正小标宋_GBK" w:eastAsia="方正小标宋_GBK" w:cs="方正小标宋_GBK"/>
          <w:sz w:val="44"/>
          <w:szCs w:val="44"/>
          <w:lang w:val="en-US" w:eastAsia="zh-CN"/>
        </w:rPr>
        <w:t>无锡市滨湖区行政审批局涉企行政合规指导清单</w:t>
      </w:r>
      <w:bookmarkEnd w:id="5"/>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适用于市场主体登记：</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180"/>
        <w:gridCol w:w="5672"/>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3" w:hRule="atLeast"/>
        </w:trPr>
        <w:tc>
          <w:tcPr>
            <w:tcW w:w="653" w:type="dxa"/>
            <w:vAlign w:val="top"/>
          </w:tcPr>
          <w:p>
            <w:pPr>
              <w:pStyle w:val="16"/>
              <w:spacing w:before="4"/>
              <w:rPr>
                <w:rFonts w:ascii="楷体"/>
                <w:b/>
                <w:bCs/>
                <w:sz w:val="14"/>
              </w:rPr>
            </w:pPr>
          </w:p>
          <w:p>
            <w:pPr>
              <w:pStyle w:val="16"/>
              <w:spacing w:before="1"/>
              <w:ind w:left="104" w:leftChars="0" w:right="87" w:rightChars="0"/>
              <w:jc w:val="center"/>
              <w:rPr>
                <w:rFonts w:hint="eastAsia" w:ascii="黑体" w:hAnsi="宋体" w:eastAsia="黑体" w:cs="宋体"/>
                <w:b/>
                <w:bCs/>
                <w:sz w:val="20"/>
                <w:szCs w:val="22"/>
                <w:lang w:val="en-US" w:eastAsia="zh-CN" w:bidi="zh-CN"/>
              </w:rPr>
            </w:pPr>
            <w:r>
              <w:rPr>
                <w:rFonts w:hint="eastAsia" w:ascii="黑体" w:eastAsia="黑体"/>
                <w:b/>
                <w:bCs/>
                <w:sz w:val="20"/>
              </w:rPr>
              <w:t>序号</w:t>
            </w:r>
          </w:p>
        </w:tc>
        <w:tc>
          <w:tcPr>
            <w:tcW w:w="1354" w:type="dxa"/>
            <w:vAlign w:val="top"/>
          </w:tcPr>
          <w:p>
            <w:pPr>
              <w:pStyle w:val="16"/>
              <w:spacing w:before="4"/>
              <w:rPr>
                <w:rFonts w:ascii="楷体"/>
                <w:b/>
                <w:bCs/>
                <w:sz w:val="14"/>
              </w:rPr>
            </w:pPr>
          </w:p>
          <w:p>
            <w:pPr>
              <w:pStyle w:val="16"/>
              <w:spacing w:before="1"/>
              <w:ind w:left="273" w:leftChars="0" w:right="0" w:rightChars="0"/>
              <w:rPr>
                <w:rFonts w:hint="eastAsia" w:ascii="黑体" w:hAnsi="宋体" w:eastAsia="黑体" w:cs="宋体"/>
                <w:b/>
                <w:bCs/>
                <w:sz w:val="20"/>
                <w:szCs w:val="22"/>
                <w:lang w:val="en-US" w:eastAsia="zh-CN" w:bidi="zh-CN"/>
              </w:rPr>
            </w:pPr>
            <w:r>
              <w:rPr>
                <w:rFonts w:hint="eastAsia" w:ascii="黑体" w:eastAsia="黑体"/>
                <w:b/>
                <w:bCs/>
                <w:sz w:val="20"/>
              </w:rPr>
              <w:t>合规事项</w:t>
            </w:r>
          </w:p>
        </w:tc>
        <w:tc>
          <w:tcPr>
            <w:tcW w:w="2180" w:type="dxa"/>
            <w:vAlign w:val="top"/>
          </w:tcPr>
          <w:p>
            <w:pPr>
              <w:pStyle w:val="16"/>
              <w:spacing w:before="4"/>
              <w:rPr>
                <w:rFonts w:ascii="楷体"/>
                <w:b/>
                <w:bCs/>
                <w:sz w:val="14"/>
              </w:rPr>
            </w:pPr>
          </w:p>
          <w:p>
            <w:pPr>
              <w:pStyle w:val="16"/>
              <w:spacing w:before="1"/>
              <w:ind w:left="287" w:leftChars="0" w:right="0" w:rightChars="0"/>
              <w:rPr>
                <w:rFonts w:hint="eastAsia" w:ascii="黑体" w:hAnsi="宋体" w:eastAsia="黑体" w:cs="宋体"/>
                <w:b/>
                <w:bCs/>
                <w:sz w:val="20"/>
                <w:szCs w:val="22"/>
                <w:lang w:val="en-US" w:eastAsia="zh-CN" w:bidi="zh-CN"/>
              </w:rPr>
            </w:pPr>
            <w:r>
              <w:rPr>
                <w:rFonts w:hint="eastAsia" w:ascii="黑体" w:eastAsia="黑体"/>
                <w:b/>
                <w:bCs/>
                <w:sz w:val="20"/>
              </w:rPr>
              <w:t>常见违法行为表现</w:t>
            </w:r>
          </w:p>
        </w:tc>
        <w:tc>
          <w:tcPr>
            <w:tcW w:w="5672" w:type="dxa"/>
            <w:vAlign w:val="top"/>
          </w:tcPr>
          <w:p>
            <w:pPr>
              <w:pStyle w:val="16"/>
              <w:spacing w:before="4"/>
              <w:rPr>
                <w:rFonts w:ascii="楷体"/>
                <w:b/>
                <w:bCs/>
                <w:sz w:val="14"/>
              </w:rPr>
            </w:pPr>
          </w:p>
          <w:p>
            <w:pPr>
              <w:pStyle w:val="16"/>
              <w:spacing w:before="1"/>
              <w:ind w:left="1908" w:leftChars="0" w:right="1895" w:rightChars="0"/>
              <w:jc w:val="center"/>
              <w:rPr>
                <w:rFonts w:hint="eastAsia" w:ascii="黑体" w:hAnsi="宋体" w:eastAsia="黑体" w:cs="宋体"/>
                <w:b/>
                <w:bCs/>
                <w:sz w:val="20"/>
                <w:szCs w:val="22"/>
                <w:lang w:val="en-US" w:eastAsia="zh-CN" w:bidi="zh-CN"/>
              </w:rPr>
            </w:pPr>
            <w:r>
              <w:rPr>
                <w:rFonts w:hint="eastAsia" w:ascii="黑体" w:eastAsia="黑体"/>
                <w:b/>
                <w:bCs/>
                <w:sz w:val="20"/>
              </w:rPr>
              <w:t>法律依据及违法责任</w:t>
            </w:r>
          </w:p>
        </w:tc>
        <w:tc>
          <w:tcPr>
            <w:tcW w:w="750" w:type="dxa"/>
            <w:vAlign w:val="top"/>
          </w:tcPr>
          <w:p>
            <w:pPr>
              <w:pStyle w:val="16"/>
              <w:spacing w:before="28"/>
              <w:ind w:left="172"/>
              <w:rPr>
                <w:rFonts w:hint="eastAsia" w:ascii="黑体" w:eastAsia="黑体"/>
                <w:b/>
                <w:bCs/>
                <w:sz w:val="20"/>
              </w:rPr>
            </w:pPr>
            <w:r>
              <w:rPr>
                <w:rFonts w:hint="eastAsia" w:ascii="黑体" w:eastAsia="黑体"/>
                <w:b/>
                <w:bCs/>
                <w:w w:val="95"/>
                <w:sz w:val="20"/>
              </w:rPr>
              <w:t>风险</w:t>
            </w:r>
          </w:p>
          <w:p>
            <w:pPr>
              <w:pStyle w:val="16"/>
              <w:spacing w:before="56"/>
              <w:ind w:left="172" w:leftChars="0" w:right="0" w:rightChars="0"/>
              <w:rPr>
                <w:rFonts w:hint="eastAsia" w:ascii="黑体" w:hAnsi="宋体" w:eastAsia="黑体" w:cs="宋体"/>
                <w:b/>
                <w:bCs/>
                <w:sz w:val="20"/>
                <w:szCs w:val="22"/>
                <w:lang w:val="en-US" w:eastAsia="zh-CN" w:bidi="zh-CN"/>
              </w:rPr>
            </w:pPr>
            <w:r>
              <w:rPr>
                <w:rFonts w:hint="eastAsia" w:ascii="黑体" w:eastAsia="黑体"/>
                <w:b/>
                <w:bCs/>
                <w:w w:val="95"/>
                <w:sz w:val="20"/>
              </w:rPr>
              <w:t>等级</w:t>
            </w:r>
          </w:p>
        </w:tc>
        <w:tc>
          <w:tcPr>
            <w:tcW w:w="2631" w:type="dxa"/>
            <w:vAlign w:val="top"/>
          </w:tcPr>
          <w:p>
            <w:pPr>
              <w:pStyle w:val="16"/>
              <w:spacing w:before="4"/>
              <w:rPr>
                <w:rFonts w:ascii="楷体"/>
                <w:b/>
                <w:bCs/>
                <w:sz w:val="14"/>
              </w:rPr>
            </w:pPr>
          </w:p>
          <w:p>
            <w:pPr>
              <w:pStyle w:val="16"/>
              <w:spacing w:before="1"/>
              <w:ind w:left="892" w:leftChars="0" w:right="875" w:rightChars="0"/>
              <w:jc w:val="center"/>
              <w:rPr>
                <w:rFonts w:hint="eastAsia" w:ascii="黑体" w:hAnsi="宋体" w:eastAsia="黑体" w:cs="宋体"/>
                <w:b/>
                <w:bCs/>
                <w:sz w:val="20"/>
                <w:szCs w:val="22"/>
                <w:lang w:val="en-US" w:eastAsia="zh-CN" w:bidi="zh-CN"/>
              </w:rPr>
            </w:pPr>
            <w:r>
              <w:rPr>
                <w:rFonts w:hint="eastAsia" w:ascii="黑体" w:eastAsia="黑体"/>
                <w:b/>
                <w:bCs/>
                <w:sz w:val="20"/>
              </w:rPr>
              <w:t>合规建议</w:t>
            </w:r>
          </w:p>
        </w:tc>
        <w:tc>
          <w:tcPr>
            <w:tcW w:w="1117" w:type="dxa"/>
            <w:vAlign w:val="top"/>
          </w:tcPr>
          <w:p>
            <w:pPr>
              <w:pStyle w:val="16"/>
              <w:spacing w:before="28"/>
              <w:ind w:left="156"/>
              <w:rPr>
                <w:rFonts w:hint="eastAsia" w:ascii="黑体" w:eastAsia="黑体"/>
                <w:b/>
                <w:bCs/>
                <w:sz w:val="20"/>
              </w:rPr>
            </w:pPr>
            <w:r>
              <w:rPr>
                <w:rFonts w:hint="eastAsia" w:ascii="黑体" w:eastAsia="黑体"/>
                <w:b/>
                <w:bCs/>
                <w:w w:val="95"/>
                <w:sz w:val="20"/>
              </w:rPr>
              <w:t>指导部门</w:t>
            </w:r>
          </w:p>
          <w:p>
            <w:pPr>
              <w:pStyle w:val="16"/>
              <w:spacing w:before="56"/>
              <w:ind w:left="156" w:leftChars="0" w:right="0" w:rightChars="0"/>
              <w:rPr>
                <w:rFonts w:hint="eastAsia" w:ascii="黑体" w:hAnsi="宋体" w:eastAsia="黑体" w:cs="宋体"/>
                <w:b/>
                <w:bCs/>
                <w:sz w:val="20"/>
                <w:szCs w:val="22"/>
                <w:lang w:val="en-US" w:eastAsia="zh-CN" w:bidi="zh-CN"/>
              </w:rPr>
            </w:pPr>
            <w:r>
              <w:rPr>
                <w:rFonts w:hint="eastAsia" w:ascii="黑体" w:eastAsia="黑体"/>
                <w:b/>
                <w:bCs/>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市场主体应当依法登记（内资企业）</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市场主体不依法办理设立登记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变更登记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注销登记。</w:t>
            </w:r>
          </w:p>
        </w:tc>
        <w:tc>
          <w:tcPr>
            <w:tcW w:w="567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【行政法规】《中华人民共和国市场主体登记管理条例》</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市场主体应当依照本条例办理登记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未经登记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不得以市场主体名义从事经营活动</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法律、行政法规规定无需办理登记的除外</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市场主体登记包括设立登记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变更登记和注销登记</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未经设立登记从事经营活动的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由登记机关责令改正</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没收违法所得</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拒不改正的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处1万元以上10万元以下的罚款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情节严重的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依法责令关闭停业</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并处10万元以上50万元以下的罚款</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依法办理登记。</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审批一科</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85860020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43"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申请人对提交材料的真实性负责（内资企业）</w:t>
            </w:r>
          </w:p>
        </w:tc>
        <w:tc>
          <w:tcPr>
            <w:tcW w:w="2180"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提交虚假材料或者采取其他欺诈手段隐瞒重要事实取得公司登记。</w:t>
            </w:r>
          </w:p>
        </w:tc>
        <w:tc>
          <w:tcPr>
            <w:tcW w:w="567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【法律】《中华人民共和国公司法》（2018修正）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第一百九十八条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虚报注册资本</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提交虚假材料或者采取其他 欺诈手段隐瞒重要事实取得公司登记的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由公司登记机关责令改正</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对虚报注册资本的公司</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处以虚报注册资本金额</w:t>
            </w:r>
            <w:r>
              <w:rPr>
                <w:rFonts w:hint="default" w:ascii="Times New Roman" w:hAnsi="Times New Roman" w:eastAsia="方正楷体_GBK" w:cs="Times New Roman"/>
                <w:sz w:val="16"/>
                <w:szCs w:val="16"/>
                <w:highlight w:val="none"/>
                <w:lang w:val="en-US" w:eastAsia="zh-CN"/>
              </w:rPr>
              <w:t>百分之五</w:t>
            </w:r>
            <w:r>
              <w:rPr>
                <w:rFonts w:hint="default" w:ascii="Times New Roman" w:hAnsi="Times New Roman" w:eastAsia="方正楷体_GBK" w:cs="Times New Roman"/>
                <w:sz w:val="16"/>
                <w:szCs w:val="16"/>
                <w:lang w:val="en-US" w:eastAsia="zh-CN"/>
              </w:rPr>
              <w:t>以上</w:t>
            </w:r>
            <w:r>
              <w:rPr>
                <w:rFonts w:hint="default" w:ascii="Times New Roman" w:hAnsi="Times New Roman" w:eastAsia="方正楷体_GBK" w:cs="Times New Roman"/>
                <w:sz w:val="16"/>
                <w:szCs w:val="16"/>
                <w:highlight w:val="none"/>
                <w:lang w:val="en-US" w:eastAsia="zh-CN"/>
              </w:rPr>
              <w:t>百分之十五</w:t>
            </w:r>
            <w:r>
              <w:rPr>
                <w:rFonts w:hint="default" w:ascii="Times New Roman" w:hAnsi="Times New Roman" w:eastAsia="方正楷体_GBK" w:cs="Times New Roman"/>
                <w:sz w:val="16"/>
                <w:szCs w:val="16"/>
                <w:lang w:val="en-US" w:eastAsia="zh-CN"/>
              </w:rPr>
              <w:t>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对提交虚假材料或者采取其他欺诈手段隐瞒重要事实的公司</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处以五万元以上五十万 元以下的罚款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情节严重的，撤销公司登记或者吊销营业执照。</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【行政法规】《中华人民共和国市场主体登记管理条例》</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申请人应当对提交材料的真实性、合法性和有效性负责。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提交虚假材料或者采取其他欺诈手段隐瞒重要事实取得市场主 体登记的，由登记机关责令改正，没收违法所得，并处5万元以上20万元以下的 罚款；情节严重的，处20万元以上100万元以下的罚款，吊销营业执照。</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提交真实材料申请登记。</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审批一科</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85860020</w:t>
            </w:r>
          </w:p>
        </w:tc>
      </w:tr>
    </w:tbl>
    <w:p>
      <w:pPr>
        <w:rPr>
          <w:rFonts w:hint="default" w:ascii="方正小标宋_GBK" w:hAnsi="方正小标宋_GBK" w:eastAsia="方正小标宋_GBK" w:cs="方正小标宋_GBK"/>
          <w:sz w:val="44"/>
          <w:szCs w:val="44"/>
          <w:lang w:val="en-US" w:eastAsia="zh-CN" w:bidi="zh-CN"/>
        </w:rPr>
      </w:pPr>
      <w:r>
        <w:rPr>
          <w:rFonts w:hint="default" w:ascii="方正小标宋_GBK" w:hAnsi="方正小标宋_GBK" w:eastAsia="方正小标宋_GBK" w:cs="方正小标宋_GBK"/>
          <w:sz w:val="44"/>
          <w:szCs w:val="44"/>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7"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jc w:val="center"/>
              <w:rPr>
                <w:rFonts w:hint="eastAsia" w:ascii="黑体" w:eastAsia="黑体"/>
                <w:b/>
                <w:sz w:val="20"/>
                <w:lang w:val="en-US" w:eastAsia="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1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市场主体发生变更时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应依法办理有关变更登记（内资企业）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市场主体登记事项发生变更时，未依照本法规定办理有关变更登记。</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【行政法规】《中华人民共和国市场主体登记管理条例》</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第二十四条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市场主体变更登记事项</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应当自作出变更决议</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决定或者法定变更事项发生之日起30日内向登记机关申请变更登记。</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市场主体变更登记事项属于依法须经批准的，申请人应当在批准文件有效期内向登记机关申请变更登记。</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公司、非公司企业法人的法定代表人在任职期间发生本条例第十二条所</w:t>
            </w:r>
            <w:r>
              <w:rPr>
                <w:rFonts w:hint="default" w:ascii="Times New Roman" w:hAnsi="Times New Roman" w:eastAsia="方正楷体_GBK" w:cs="Times New Roman"/>
                <w:sz w:val="16"/>
                <w:szCs w:val="16"/>
                <w:highlight w:val="none"/>
                <w:lang w:val="en-US" w:eastAsia="zh-CN"/>
              </w:rPr>
              <w:t>列情形之一</w:t>
            </w:r>
            <w:r>
              <w:rPr>
                <w:rFonts w:hint="default" w:ascii="Times New Roman" w:hAnsi="Times New Roman" w:eastAsia="方正楷体_GBK" w:cs="Times New Roman"/>
                <w:sz w:val="16"/>
                <w:szCs w:val="16"/>
                <w:lang w:val="en-US" w:eastAsia="zh-CN"/>
              </w:rPr>
              <w:t>的，应当向登记机关申请变更登记。</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市场主体变更经营范围，属于依法须经批准的项目的，应当自批准之日起30日内申请变更登记。许可证或者批准文件被吊销、撤销或者有效期届满的，应当自许可证或者批准文件被吊销、撤销或者有效期届满之日起30日内向登记机关申请变更登记或者办理注销登记。</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市场主体变更住所或者主要经营场所跨登记机关辖区的，应当在迁入新的住所或者主要经营场所前，向迁入地登记机关申请变更登记。迁出地登记机关无正当理由不得拒绝移交市场主体档案等相关材料。</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第四十六条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市场主体未依照本条例办理变更登记的，由登记机关责令改正； 拒不改正的，处1万元以上10万元以下的罚款；情节严重的，吊销营业执照。</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市场主体发生变更时，应依法办理有关变更登记。</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审批一科</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85860131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0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市场主体发生变更时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应依法办理有关备案（内资企业）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市场主体登记事项发生变更时，未依照本法规定办理有关备案。</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【行政法规】《中华人民共和国市场主体登记管理条例》</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市场主体变更本条例第九条规定的备案事项的，应当自作出变更决议、决定或者法定变更事项发生之日起30日内向登记机关办理备案。农民专业合作社（联合社）成员发生变更的，应当自本会计年度终了之日起90日内向登记机关办理备案。</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市场主体未依照本条例办理备案的，由登记机关责令改正</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拒不改正的，处5万元以下的罚款。</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市场主体发生变更时， 应依法办理有关备案。</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审批一科</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85860131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4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市场主体因解散</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被宣告破产或者其他法定事由需要终止的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应当依法向登记机关申请注销登记（内资企业）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市场主体因解散、被宣告破产或者其他法定事由需要终止的，未依法向登记机关申请注销登记</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【行政法规】《中华人民共和国市场主体登记管理条例》</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市场主体因解散、被宣告破产或者其他法定事由需要终止的，应当依法向登记机关申请注销登记。经登记机关注销登记，市场主体终止。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市场主体注销依法须经批准的，应当经批准后向登记机关申请注销登记。</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第三十二条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市场主体注销登记前依法应当清算的，清算组应当自成立之日起10日内将清算组成员</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清算组负责人名单通过国家企业信用信息公示系统公告</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清算组可以通过国家企业信用信息公示系统发布债权人公告。</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zh-CN" w:eastAsia="zh-CN"/>
              </w:rPr>
              <w:t>　　清算组应当自清算结束之日起30日内向登记机关申请注销登记</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市场主体申请注销登记前</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应当依法办理分支机构注销登记</w:t>
            </w:r>
            <w:r>
              <w:rPr>
                <w:rFonts w:hint="eastAsia" w:ascii="Times New Roman" w:hAnsi="Times New Roman" w:eastAsia="方正楷体_GBK" w:cs="Times New Roman"/>
                <w:sz w:val="16"/>
                <w:szCs w:val="16"/>
                <w:lang w:val="zh-CN"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市场主体因解散、被宣告破产或者其他法定事由需要终止的，应当依法向登记机关申请注销登记。</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审批一科</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85860131</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pStyle w:val="16"/>
        <w:spacing w:before="4"/>
        <w:rPr>
          <w:rFonts w:hint="eastAsia" w:ascii="楷体" w:hAnsi="楷体" w:eastAsia="楷体" w:cs="楷体"/>
          <w:sz w:val="14"/>
          <w:lang w:val="en-US" w:eastAsia="zh-CN"/>
        </w:rPr>
      </w:pPr>
    </w:p>
    <w:p>
      <w:pPr>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适用于建筑单位及处置建筑垃圾的单位和个人：</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2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建设单位在开工前应当依照规定申请领取施工许可证</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未取得施工许可证擅自施工的。</w:t>
            </w:r>
          </w:p>
        </w:tc>
        <w:tc>
          <w:tcPr>
            <w:tcW w:w="5526" w:type="dxa"/>
            <w:tcMar>
              <w:top w:w="57" w:type="dxa"/>
              <w:left w:w="57" w:type="dxa"/>
              <w:bottom w:w="57" w:type="dxa"/>
              <w:right w:w="57" w:type="dxa"/>
            </w:tcMar>
            <w:vAlign w:val="center"/>
          </w:tcPr>
          <w:p>
            <w:pPr>
              <w:pStyle w:val="16"/>
              <w:bidi w:val="0"/>
              <w:spacing w:line="240" w:lineRule="auto"/>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【法律】《中华人民共和国建筑法》</w:t>
            </w:r>
            <w:r>
              <w:rPr>
                <w:rFonts w:hint="eastAsia" w:ascii="Times New Roman" w:hAnsi="Times New Roman" w:eastAsia="方正楷体_GBK" w:cs="Times New Roman"/>
                <w:sz w:val="16"/>
                <w:szCs w:val="16"/>
                <w:lang w:val="en-US" w:eastAsia="zh-CN"/>
              </w:rPr>
              <w:t>（2019修正）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建筑工程开工前，建设单位应当按照国家有关规定向工程所在地县级以上人民政府建设行政主管部门申请领取施工许可证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但是</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国务院建设行政主管部门确定的限额以下的小型工程除外。</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按照国务院规定的权限和程序批准开工报告的建筑工程，不再领取施工许可证。</w:t>
            </w:r>
          </w:p>
          <w:p>
            <w:pPr>
              <w:pStyle w:val="16"/>
              <w:bidi w:val="0"/>
              <w:spacing w:line="240" w:lineRule="auto"/>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【部门规章】《建筑工程施工许可管理办法》</w:t>
            </w:r>
            <w:r>
              <w:rPr>
                <w:rFonts w:hint="eastAsia" w:ascii="Times New Roman" w:hAnsi="Times New Roman" w:eastAsia="方正楷体_GBK" w:cs="Times New Roman"/>
                <w:sz w:val="16"/>
                <w:szCs w:val="16"/>
                <w:lang w:val="en-US" w:eastAsia="zh-CN"/>
              </w:rPr>
              <w:t>（根据住建部令第52号修改）</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在中华人民共和国境内从事各类房屋建筑及其附属设施的建造</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装修装饰和与其配套的线路、管道、设备的安装</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以及城镇市政基础设施工程的施工</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建设单位在开工前应当依照本办法的规定</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向工程所在地的县级以上地方人民政府住房城乡建设主管部门（以下简称发证机关）申请领取施工许可证。</w:t>
            </w:r>
          </w:p>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　　工程投资额在30万元以下或者建筑面积在300平方米以下的建筑工程，可以不申请办理施工许可证</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省</w:t>
            </w:r>
            <w:r>
              <w:rPr>
                <w:rFonts w:hint="eastAsia" w:ascii="Times New Roman" w:hAnsi="Times New Roman" w:eastAsia="方正楷体_GBK" w:cs="Times New Roman"/>
                <w:sz w:val="16"/>
                <w:szCs w:val="16"/>
                <w:lang w:val="zh-CN" w:eastAsia="zh-CN"/>
              </w:rPr>
              <w:t>、</w:t>
            </w:r>
            <w:r>
              <w:rPr>
                <w:rFonts w:hint="default" w:ascii="Times New Roman" w:hAnsi="Times New Roman" w:eastAsia="方正楷体_GBK" w:cs="Times New Roman"/>
                <w:sz w:val="16"/>
                <w:szCs w:val="16"/>
                <w:lang w:val="zh-CN" w:eastAsia="zh-CN"/>
              </w:rPr>
              <w:t>自治区、直辖市人民政府住房城乡建设主管部门可以根据当地的实际情况，对限额进行调整，并报国务院住房城乡建设主管部门备案。</w:t>
            </w:r>
          </w:p>
          <w:p>
            <w:pPr>
              <w:pStyle w:val="16"/>
              <w:bidi w:val="0"/>
              <w:spacing w:line="240" w:lineRule="auto"/>
              <w:ind w:firstLine="328"/>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按照国务院规定的权限和程序批准开工报告的建筑工程，不再领取施工许可证。</w:t>
            </w:r>
          </w:p>
          <w:p>
            <w:pPr>
              <w:pStyle w:val="16"/>
              <w:bidi w:val="0"/>
              <w:spacing w:line="240" w:lineRule="auto"/>
              <w:ind w:firstLine="328"/>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对于未取得施工许可证或者为规避办理施工许可证将工程项目分 解后擅自施工的，由有管辖权的发证机关责令停止施工</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限期改正</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对建设单位 处工程合同价款1%以上2%以下罚款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对施工单位处3万元以下罚款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 xml:space="preserve">  </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依法申请领取施工许可证。</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审批三科85860019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3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建筑垃圾处置应向环境卫生主管部门申请</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1.未经核准进行处置</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2.超出核准范围进行处 置。</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【部门规章】《城市建筑垃圾管理规定》</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处置建筑垃圾的单位，应当向城市人民政府市容环境卫生主管部门提出申请，获得城市建筑垃圾处置核准后，方可处置。</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任何单位和个人不得随意倾倒</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抛撒或者堆放建筑垃圾。</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违反本规定</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有下列情形之一的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由城市人民政府市容环境卫生主管部门责令限期改正，给予警告</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对施工单位处1万元以上10万元以下罚款，对建设单位、运输建筑垃圾的单位处5000元以上3万元以下罚款</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（一）未经核准擅自处置建筑垃圾的；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（二）处置超出核准范围的建筑垃圾的。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任何单位和个人随意倾倒、抛撒或者堆放建筑垃圾的，由城市人</w:t>
            </w:r>
            <w:r>
              <w:rPr>
                <w:rFonts w:hint="default" w:ascii="Times New Roman" w:hAnsi="Times New Roman" w:eastAsia="方正楷体_GBK" w:cs="Times New Roman"/>
                <w:sz w:val="16"/>
                <w:szCs w:val="16"/>
                <w:highlight w:val="none"/>
                <w:lang w:val="en-US" w:eastAsia="zh-CN"/>
              </w:rPr>
              <w:t>民政府</w:t>
            </w:r>
            <w:r>
              <w:rPr>
                <w:rFonts w:hint="default" w:ascii="Times New Roman" w:hAnsi="Times New Roman" w:eastAsia="方正楷体_GBK" w:cs="Times New Roman"/>
                <w:sz w:val="16"/>
                <w:szCs w:val="16"/>
                <w:lang w:val="en-US" w:eastAsia="zh-CN"/>
              </w:rPr>
              <w:t>市容环境卫生主管部门责令限期改正，给予警告，并对单位处5000元以上5 万元以下罚款，对个人处200元以下罚款</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处置建筑垃圾的单位，应当提出申请，获得城市建筑垃圾处置核准后，方可处置</w:t>
            </w:r>
            <w:r>
              <w:rPr>
                <w:rFonts w:hint="eastAsia" w:ascii="Times New Roman" w:hAnsi="Times New Roman" w:eastAsia="方正楷体_GBK" w:cs="Times New Roman"/>
                <w:sz w:val="16"/>
                <w:szCs w:val="16"/>
                <w:lang w:val="en-US" w:eastAsia="zh-CN"/>
              </w:rPr>
              <w:t>。</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审批三科85860019</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rPr>
          <w:rFonts w:hint="eastAsia" w:ascii="楷体" w:hAnsi="楷体" w:eastAsia="楷体" w:cs="楷体"/>
          <w:sz w:val="28"/>
          <w:szCs w:val="28"/>
          <w:lang w:val="en-US" w:eastAsia="zh-CN" w:bidi="zh-CN"/>
        </w:rPr>
      </w:pPr>
      <w:r>
        <w:rPr>
          <w:rFonts w:hint="eastAsia" w:ascii="楷体" w:hAnsi="楷体" w:eastAsia="楷体" w:cs="楷体"/>
          <w:sz w:val="28"/>
          <w:szCs w:val="28"/>
          <w:lang w:val="en-US" w:eastAsia="zh-CN" w:bidi="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适用于户外广告设置的单位和个人：</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eastAsia" w:ascii="黑体" w:eastAsia="黑体"/>
                <w:b/>
                <w:sz w:val="20"/>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设置户外广告应当符合相关规定</w:t>
            </w:r>
            <w:r>
              <w:rPr>
                <w:rFonts w:hint="eastAsia" w:ascii="Times New Roman" w:hAnsi="Times New Roman" w:eastAsia="方正楷体_GBK" w:cs="Times New Roman"/>
                <w:sz w:val="16"/>
                <w:szCs w:val="16"/>
                <w:lang w:val="en-US" w:eastAsia="zh-CN"/>
              </w:rPr>
              <w:t>（临时户外广告）</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未经批准，擅自设置户外广告设施。</w:t>
            </w:r>
          </w:p>
        </w:tc>
        <w:tc>
          <w:tcPr>
            <w:tcW w:w="5526" w:type="dxa"/>
            <w:tcMar>
              <w:top w:w="57" w:type="dxa"/>
              <w:left w:w="57" w:type="dxa"/>
              <w:bottom w:w="57" w:type="dxa"/>
              <w:right w:w="57" w:type="dxa"/>
            </w:tcMar>
            <w:vAlign w:val="center"/>
          </w:tcPr>
          <w:p>
            <w:pPr>
              <w:pStyle w:val="16"/>
              <w:bidi w:val="0"/>
              <w:spacing w:line="240" w:lineRule="auto"/>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【行政法规】《城市市容和环境卫生管理条例》</w:t>
            </w:r>
            <w:r>
              <w:rPr>
                <w:rFonts w:hint="eastAsia" w:ascii="Times New Roman" w:hAnsi="Times New Roman" w:eastAsia="方正楷体_GBK" w:cs="Times New Roman"/>
                <w:sz w:val="16"/>
                <w:szCs w:val="16"/>
                <w:lang w:val="en-US" w:eastAsia="zh-CN"/>
              </w:rPr>
              <w:t>（2017修订）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在城市中设置户外广告、标语牌、画廊、橱窗等，应当内容健康、</w:t>
            </w:r>
            <w:r>
              <w:rPr>
                <w:rFonts w:hint="eastAsia" w:ascii="Times New Roman" w:hAnsi="Times New Roman" w:eastAsia="方正楷体_GBK" w:cs="Times New Roman"/>
                <w:sz w:val="16"/>
                <w:szCs w:val="16"/>
                <w:highlight w:val="none"/>
                <w:lang w:val="en-US" w:eastAsia="zh-CN"/>
              </w:rPr>
              <w:t>外形美观</w:t>
            </w:r>
            <w:r>
              <w:rPr>
                <w:rFonts w:hint="default" w:ascii="Times New Roman" w:hAnsi="Times New Roman" w:eastAsia="方正楷体_GBK" w:cs="Times New Roman"/>
                <w:sz w:val="16"/>
                <w:szCs w:val="16"/>
                <w:lang w:val="en-US" w:eastAsia="zh-CN"/>
              </w:rPr>
              <w:t>，并定期维修、油饰或者拆除。</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大型户外广告的设置必须征得城市人民政府市容环境卫生行政主管部门同意后，按照有关规定办理审批手续。</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一切单位和个人，都不得在城市建筑物、设施以及树木上涂写、刻画。</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单位和个人在城市建筑物、设施上张挂、张贴宣传品等，须经城市人民政府市容环境卫生行政主管部门或者其他有关部门批准。</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第三十四条</w:t>
            </w:r>
            <w:r>
              <w:rPr>
                <w:rFonts w:hint="eastAsia" w:ascii="Times New Roman" w:hAnsi="Times New Roman" w:eastAsia="方正楷体_GBK" w:cs="Times New Roman"/>
                <w:sz w:val="16"/>
                <w:szCs w:val="16"/>
                <w:lang w:val="en-US" w:eastAsia="zh-CN"/>
              </w:rPr>
              <w:t xml:space="preserve">第（二）项  </w:t>
            </w:r>
            <w:r>
              <w:rPr>
                <w:rFonts w:hint="default" w:ascii="Times New Roman" w:hAnsi="Times New Roman" w:eastAsia="方正楷体_GBK" w:cs="Times New Roman"/>
                <w:sz w:val="16"/>
                <w:szCs w:val="16"/>
                <w:lang w:val="en-US" w:eastAsia="zh-CN"/>
              </w:rPr>
              <w:t>有下列行为之一者，城市人民政府市容环境卫生行政主管部门或者其委托的单位除责令其纠正违法行为、采取补救措施外，可以并处警告、罚款</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（二）在城市建筑物、设施以及树木上涂写、刻画或者未经批准张挂、张贴宣传品等的；</w:t>
            </w:r>
          </w:p>
          <w:p>
            <w:pPr>
              <w:pStyle w:val="16"/>
              <w:bidi w:val="0"/>
              <w:spacing w:line="240" w:lineRule="auto"/>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w:t>
            </w:r>
            <w:r>
              <w:rPr>
                <w:rFonts w:hint="eastAsia" w:ascii="Times New Roman" w:hAnsi="Times New Roman" w:eastAsia="方正楷体_GBK" w:cs="Times New Roman"/>
                <w:sz w:val="16"/>
                <w:szCs w:val="16"/>
                <w:lang w:val="en-US" w:eastAsia="zh-CN"/>
              </w:rPr>
              <w:t>（2019修订）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第三十条</w:t>
            </w:r>
            <w:r>
              <w:rPr>
                <w:rFonts w:hint="eastAsia" w:ascii="Times New Roman" w:hAnsi="Times New Roman" w:eastAsia="方正楷体_GBK" w:cs="Times New Roman"/>
                <w:sz w:val="16"/>
                <w:szCs w:val="16"/>
                <w:lang w:val="en-US" w:eastAsia="zh-CN"/>
              </w:rPr>
              <w:t xml:space="preserve">第一款  </w:t>
            </w:r>
            <w:r>
              <w:rPr>
                <w:rFonts w:hint="default" w:ascii="Times New Roman" w:hAnsi="Times New Roman" w:eastAsia="方正楷体_GBK" w:cs="Times New Roman"/>
                <w:sz w:val="16"/>
                <w:szCs w:val="16"/>
                <w:lang w:val="en-US" w:eastAsia="zh-CN"/>
              </w:rPr>
              <w:t>建造用于发布户外广告的专用设施，应当符合户外广告设置规划，并按照</w:t>
            </w:r>
            <w:r>
              <w:rPr>
                <w:rFonts w:hint="default" w:ascii="Times New Roman" w:hAnsi="Times New Roman" w:eastAsia="方正楷体_GBK" w:cs="Times New Roman"/>
                <w:sz w:val="16"/>
                <w:szCs w:val="16"/>
                <w:highlight w:val="none"/>
                <w:lang w:val="en-US" w:eastAsia="zh-CN"/>
              </w:rPr>
              <w:t>法律、法规</w:t>
            </w:r>
            <w:r>
              <w:rPr>
                <w:rFonts w:hint="default" w:ascii="Times New Roman" w:hAnsi="Times New Roman" w:eastAsia="方正楷体_GBK" w:cs="Times New Roman"/>
                <w:sz w:val="16"/>
                <w:szCs w:val="16"/>
                <w:lang w:val="en-US" w:eastAsia="zh-CN"/>
              </w:rPr>
              <w:t>的规定办理相关审批手续。不符合户外广告设置规划的，有关审批部门不得批准。</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违反本条例第三十条第一款规定设置户外广告设施的，由有关审批部门责令设置者限期改正或者拆除，并依照有关</w:t>
            </w:r>
            <w:r>
              <w:rPr>
                <w:rFonts w:hint="default" w:ascii="Times New Roman" w:hAnsi="Times New Roman" w:eastAsia="方正楷体_GBK" w:cs="Times New Roman"/>
                <w:sz w:val="16"/>
                <w:szCs w:val="16"/>
                <w:highlight w:val="none"/>
                <w:lang w:val="en-US" w:eastAsia="zh-CN"/>
              </w:rPr>
              <w:t>法律、法规</w:t>
            </w:r>
            <w:r>
              <w:rPr>
                <w:rFonts w:hint="default" w:ascii="Times New Roman" w:hAnsi="Times New Roman" w:eastAsia="方正楷体_GBK" w:cs="Times New Roman"/>
                <w:sz w:val="16"/>
                <w:szCs w:val="16"/>
                <w:lang w:val="en-US" w:eastAsia="zh-CN"/>
              </w:rPr>
              <w:t>的规定予以处罚；</w:t>
            </w:r>
            <w:r>
              <w:rPr>
                <w:rFonts w:hint="default" w:ascii="Times New Roman" w:hAnsi="Times New Roman" w:eastAsia="方正楷体_GBK" w:cs="Times New Roman"/>
                <w:sz w:val="16"/>
                <w:szCs w:val="16"/>
                <w:highlight w:val="none"/>
                <w:lang w:val="en-US" w:eastAsia="zh-CN"/>
              </w:rPr>
              <w:t>法律、法规</w:t>
            </w:r>
            <w:r>
              <w:rPr>
                <w:rFonts w:hint="default" w:ascii="Times New Roman" w:hAnsi="Times New Roman" w:eastAsia="方正楷体_GBK" w:cs="Times New Roman"/>
                <w:sz w:val="16"/>
                <w:szCs w:val="16"/>
                <w:lang w:val="en-US" w:eastAsia="zh-CN"/>
              </w:rPr>
              <w:t>没有规定的，有关审批部门可以处以一万元以上五万元以下罚款。设置者拒不拆除的，由有关审批部门依法强制拆除或者申请人民法院强制拆除。</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设置户外广告应当符合相关规定。</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审批三科85860019</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jc w:val="both"/>
        <w:rPr>
          <w:rFonts w:hint="default" w:ascii="方正小标宋_GBK" w:hAnsi="方正小标宋_GBK" w:eastAsia="方正小标宋_GBK" w:cs="方正小标宋_GBK"/>
          <w:sz w:val="44"/>
          <w:szCs w:val="44"/>
          <w:lang w:val="en-US" w:eastAsia="zh-CN" w:bidi="zh-CN"/>
        </w:rPr>
      </w:pPr>
    </w:p>
    <w:p>
      <w:pPr>
        <w:jc w:val="both"/>
        <w:rPr>
          <w:rFonts w:hint="default" w:ascii="方正小标宋_GBK" w:hAnsi="方正小标宋_GBK" w:eastAsia="方正小标宋_GBK" w:cs="方正小标宋_GBK"/>
          <w:sz w:val="44"/>
          <w:szCs w:val="44"/>
          <w:lang w:val="en-US" w:eastAsia="zh-CN" w:bidi="zh-CN"/>
        </w:rPr>
      </w:pPr>
    </w:p>
    <w:p>
      <w:pPr>
        <w:rPr>
          <w:rFonts w:hint="eastAsia" w:ascii="方正小标宋_GBK" w:hAnsi="方正小标宋_GBK" w:eastAsia="方正小标宋_GBK" w:cs="方正小标宋_GBK"/>
          <w:sz w:val="44"/>
          <w:szCs w:val="44"/>
          <w:lang w:val="en-US" w:eastAsia="zh-CN" w:bidi="zh-CN"/>
        </w:rPr>
      </w:pPr>
      <w:r>
        <w:rPr>
          <w:rFonts w:hint="eastAsia" w:ascii="方正小标宋_GBK" w:hAnsi="方正小标宋_GBK" w:eastAsia="方正小标宋_GBK" w:cs="方正小标宋_GBK"/>
          <w:sz w:val="44"/>
          <w:szCs w:val="44"/>
          <w:lang w:val="en-US" w:eastAsia="zh-CN" w:bidi="zh-CN"/>
        </w:rPr>
        <w:br w:type="page"/>
      </w:r>
    </w:p>
    <w:p>
      <w:pPr>
        <w:pStyle w:val="2"/>
        <w:bidi w:val="0"/>
        <w:ind w:left="0" w:leftChars="0" w:firstLine="0" w:firstLineChars="0"/>
        <w:jc w:val="center"/>
        <w:rPr>
          <w:rFonts w:hint="eastAsia" w:ascii="方正小标宋_GBK" w:hAnsi="方正小标宋_GBK" w:eastAsia="方正小标宋_GBK" w:cs="方正小标宋_GBK"/>
          <w:szCs w:val="44"/>
          <w:lang w:val="en-US" w:eastAsia="zh-CN" w:bidi="zh-CN"/>
        </w:rPr>
      </w:pPr>
      <w:bookmarkStart w:id="6" w:name="_Toc28084"/>
      <w:r>
        <w:rPr>
          <w:rFonts w:hint="eastAsia" w:ascii="方正小标宋_GBK" w:hAnsi="方正小标宋_GBK" w:eastAsia="方正小标宋_GBK" w:cs="方正小标宋_GBK"/>
          <w:sz w:val="44"/>
          <w:szCs w:val="44"/>
          <w:lang w:val="en-US" w:eastAsia="zh-CN"/>
        </w:rPr>
        <w:t>无锡市滨湖区市场监督管理局涉企行政合规指导清单</w:t>
      </w:r>
      <w:bookmarkEnd w:id="6"/>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bookmarkStart w:id="7" w:name="bookmark2"/>
      <w:r>
        <w:rPr>
          <w:rFonts w:hint="eastAsia" w:ascii="楷体" w:eastAsia="楷体"/>
          <w:sz w:val="28"/>
          <w:szCs w:val="28"/>
          <w:lang w:val="zh-CN" w:eastAsia="zh-CN"/>
        </w:rPr>
        <w:t>适用于企业登记：</w:t>
      </w:r>
      <w:bookmarkEnd w:id="7"/>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48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申请人对提交材料的真实性负责（外资企业）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提交虚假材料或者采取其他欺诈手段隐瞒重要事实取得公司登记。</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【法律】《中华人民共和国公司法》（</w:t>
            </w:r>
            <w:r>
              <w:rPr>
                <w:rStyle w:val="20"/>
                <w:rFonts w:hint="default" w:ascii="Times New Roman" w:hAnsi="Times New Roman" w:eastAsia="方正楷体_GBK" w:cs="Times New Roman"/>
                <w:lang w:val="en-US" w:eastAsia="zh-CN"/>
              </w:rPr>
              <w:t>2018修正</w:t>
            </w:r>
            <w:r>
              <w:rPr>
                <w:rFonts w:hint="default"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第一百九十八条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违反本法规定，虚报注册资本、提交虚假材料或者采取其他欺诈手段隐瞒重要事实取得公司登记的，由公司登记机关责令改正，对虚报注册资本的公司，处以虚报注册资本金额</w:t>
            </w:r>
            <w:r>
              <w:rPr>
                <w:rFonts w:hint="default" w:ascii="Times New Roman" w:hAnsi="Times New Roman" w:eastAsia="方正楷体_GBK" w:cs="Times New Roman"/>
                <w:sz w:val="16"/>
                <w:szCs w:val="16"/>
                <w:highlight w:val="none"/>
                <w:lang w:val="en-US" w:eastAsia="zh-CN"/>
              </w:rPr>
              <w:t>百分之五</w:t>
            </w:r>
            <w:r>
              <w:rPr>
                <w:rFonts w:hint="default" w:ascii="Times New Roman" w:hAnsi="Times New Roman" w:eastAsia="方正楷体_GBK" w:cs="Times New Roman"/>
                <w:sz w:val="16"/>
                <w:szCs w:val="16"/>
                <w:lang w:val="en-US" w:eastAsia="zh-CN"/>
              </w:rPr>
              <w:t>以上</w:t>
            </w:r>
            <w:r>
              <w:rPr>
                <w:rFonts w:hint="default" w:ascii="Times New Roman" w:hAnsi="Times New Roman" w:eastAsia="方正楷体_GBK" w:cs="Times New Roman"/>
                <w:sz w:val="16"/>
                <w:szCs w:val="16"/>
                <w:highlight w:val="none"/>
                <w:lang w:val="en-US" w:eastAsia="zh-CN"/>
              </w:rPr>
              <w:t>百分之十五</w:t>
            </w:r>
            <w:r>
              <w:rPr>
                <w:rFonts w:hint="default" w:ascii="Times New Roman" w:hAnsi="Times New Roman" w:eastAsia="方正楷体_GBK" w:cs="Times New Roman"/>
                <w:sz w:val="16"/>
                <w:szCs w:val="16"/>
                <w:lang w:val="en-US" w:eastAsia="zh-CN"/>
              </w:rPr>
              <w:t>以下的罚款； 对提交虚假材料或者采取其他欺诈手段隐瞒重要事实的公司，处以五万元以上五十万元以下的罚款； 情节严重的，撤销公司登记或者吊销营业执照。</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【行政法规】《中华人民共和国市场主体登记管理条例》</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第四十四条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提交虚假材料或者采取其他欺诈手段隐瞒重要事实取得市场主体登记的，由登记机关责令改正，没收违法所得，并处5万元以上20万元以下的罚款；情节严重的，处20万元以上100万元以下的罚款，吊销营业执照。</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提交真实材料申请登记。</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行政许可服务科                              （外商投资登记科）81170051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23"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公司在合并、分立、减少注册资本或者进行清算时，应依法通知或者公告债权人，并在清算期间不得开展与清算无关的经营活动（外资企业）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公司在合并、分立、减少注册资本或者进行清算时，不依法规定通知或者公告债权人，并在清算期间开展与清算无关的经营活动。</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【法律】《中华人民共和国公司法》（2018修正）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第二百零四条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公司在合并、分立、减少注册资本或者进行清算时，不依照本法规定通知或者公告债权人的，由公司登记机关责令改正，对公司处以一万元以上十万元以下的罚款。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公司在进行清算时，隐匿财产，对资产负债表或者财产清单作虚假记载或者在未清偿债务前分配公司财产的，由公司登记机关责令改正，对公司处以隐匿财产或者未清偿债务前分配公司财产金额</w:t>
            </w:r>
            <w:r>
              <w:rPr>
                <w:rFonts w:hint="default" w:ascii="Times New Roman" w:hAnsi="Times New Roman" w:eastAsia="方正楷体_GBK" w:cs="Times New Roman"/>
                <w:sz w:val="16"/>
                <w:szCs w:val="16"/>
                <w:highlight w:val="none"/>
                <w:lang w:val="en-US" w:eastAsia="zh-CN"/>
              </w:rPr>
              <w:t>百分之五</w:t>
            </w:r>
            <w:r>
              <w:rPr>
                <w:rFonts w:hint="default" w:ascii="Times New Roman" w:hAnsi="Times New Roman" w:eastAsia="方正楷体_GBK" w:cs="Times New Roman"/>
                <w:sz w:val="16"/>
                <w:szCs w:val="16"/>
                <w:lang w:val="en-US" w:eastAsia="zh-CN"/>
              </w:rPr>
              <w:t>以上</w:t>
            </w:r>
            <w:r>
              <w:rPr>
                <w:rFonts w:hint="default" w:ascii="Times New Roman" w:hAnsi="Times New Roman" w:eastAsia="方正楷体_GBK" w:cs="Times New Roman"/>
                <w:sz w:val="16"/>
                <w:szCs w:val="16"/>
                <w:highlight w:val="none"/>
                <w:lang w:val="en-US" w:eastAsia="zh-CN"/>
              </w:rPr>
              <w:t>百分之十</w:t>
            </w:r>
            <w:r>
              <w:rPr>
                <w:rFonts w:hint="default" w:ascii="Times New Roman" w:hAnsi="Times New Roman" w:eastAsia="方正楷体_GBK" w:cs="Times New Roman"/>
                <w:sz w:val="16"/>
                <w:szCs w:val="16"/>
                <w:lang w:val="en-US" w:eastAsia="zh-CN"/>
              </w:rPr>
              <w:t>以下的罚款；对直接负责的主管人员和其他直接责任人员处以一万元以上十万元以下的罚款。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第二百零五条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公司在清算期间开展与清算无关的经营活动的，由公司登记机关予以警告，没收违法所得。</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公司在合并、分立、减少注册资本或者进行清算时，应依法通知或者公告债权人，并在清算期间不得开展与清算无关的经营活动。</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行政许可服务科                              （外商投资登记科）81170051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3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清算组报送清算报告（外资企业）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清算组不依法</w:t>
            </w:r>
            <w:r>
              <w:rPr>
                <w:rFonts w:hint="eastAsia" w:ascii="Times New Roman" w:hAnsi="Times New Roman" w:eastAsia="方正楷体_GBK" w:cs="Times New Roman"/>
                <w:sz w:val="16"/>
                <w:szCs w:val="16"/>
                <w:lang w:val="en-US" w:eastAsia="zh-CN"/>
              </w:rPr>
              <w:t>依规</w:t>
            </w:r>
            <w:r>
              <w:rPr>
                <w:rFonts w:hint="default" w:ascii="Times New Roman" w:hAnsi="Times New Roman" w:eastAsia="方正楷体_GBK" w:cs="Times New Roman"/>
                <w:sz w:val="16"/>
                <w:szCs w:val="16"/>
                <w:lang w:val="en-US" w:eastAsia="zh-CN"/>
              </w:rPr>
              <w:t>向公司登记机关报送清算报告，或者报送清算报告隐瞒重要事实或者有重大遗漏。</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【法律】《中华人民共和国公司法》（2018修正）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第二百零六条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清算组不依照本法规定向公司登记机关报送清算报告，或者报送清算报告隐瞒重要事实或者有重大遗漏的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由公司登记机关责令改正</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清算组成员利用职权徇私舞弊、谋取非法收入或者侵占公司财产的，由公司登记机关责令退还公司财产，没收违法所得，并可以处以违法所得一倍以上五倍以下的罚款。</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清算组应向公司登记机关如实报送清算报告。</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行政许可服务科                              （外商投资登记科）81170051</w:t>
            </w:r>
          </w:p>
        </w:tc>
      </w:tr>
    </w:tbl>
    <w:p>
      <w:pPr>
        <w:jc w:val="both"/>
        <w:rPr>
          <w:rFonts w:hint="default" w:ascii="方正小标宋_GBK" w:hAnsi="方正小标宋_GBK" w:eastAsia="方正小标宋_GBK" w:cs="方正小标宋_GBK"/>
          <w:sz w:val="44"/>
          <w:szCs w:val="44"/>
          <w:lang w:val="en-US" w:eastAsia="zh-CN" w:bidi="zh-CN"/>
        </w:rPr>
      </w:pP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4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应依法登记为公司或分公司（外资企业）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未依法登记为公司而冒用公司或分公司名义。</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【法律】《中华人民共和国公司法》（2018修正）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第二百一十条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十万元以下的罚款</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应依法登记为公司或者分公司。</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行政许可服务科                              （外商投资登记科）81170051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8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公司的发起人</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股东应按期出资</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发起人</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股东虚假出资或未按期出资的。</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【法律】《中华人民共和国公司法》（2018修正）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第一百九十九条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公司的发起人</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股东虚假出资，未交付或者未按期交付作为出资的货币或者非货币财产的，由公司登记机关责令改正，处以虚假出资金额</w:t>
            </w:r>
            <w:r>
              <w:rPr>
                <w:rFonts w:hint="default" w:ascii="Times New Roman" w:hAnsi="Times New Roman" w:eastAsia="方正楷体_GBK" w:cs="Times New Roman"/>
                <w:sz w:val="16"/>
                <w:szCs w:val="16"/>
                <w:highlight w:val="none"/>
                <w:lang w:val="en-US" w:eastAsia="zh-CN"/>
              </w:rPr>
              <w:t>百分之五</w:t>
            </w:r>
            <w:r>
              <w:rPr>
                <w:rFonts w:hint="default" w:ascii="Times New Roman" w:hAnsi="Times New Roman" w:eastAsia="方正楷体_GBK" w:cs="Times New Roman"/>
                <w:sz w:val="16"/>
                <w:szCs w:val="16"/>
                <w:lang w:val="en-US" w:eastAsia="zh-CN"/>
              </w:rPr>
              <w:t>以上</w:t>
            </w:r>
            <w:r>
              <w:rPr>
                <w:rFonts w:hint="default" w:ascii="Times New Roman" w:hAnsi="Times New Roman" w:eastAsia="方正楷体_GBK" w:cs="Times New Roman"/>
                <w:sz w:val="16"/>
                <w:szCs w:val="16"/>
                <w:highlight w:val="none"/>
                <w:lang w:val="en-US" w:eastAsia="zh-CN"/>
              </w:rPr>
              <w:t>百分之十五</w:t>
            </w:r>
            <w:r>
              <w:rPr>
                <w:rFonts w:hint="default" w:ascii="Times New Roman" w:hAnsi="Times New Roman" w:eastAsia="方正楷体_GBK" w:cs="Times New Roman"/>
                <w:sz w:val="16"/>
                <w:szCs w:val="16"/>
                <w:lang w:val="en-US" w:eastAsia="zh-CN"/>
              </w:rPr>
              <w:t>以下的罚款。</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【行政法规】《中华人民共和国市场主体登记管理条例》</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第四十五条第二款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实行注册资本实缴登记制的市场主体的发起人、股东虚假出资，未交付或者未按期交付作为出资的货币或者非货币财产的，或者在市场主体成立后抽逃出资的，由登记机关责令改正，处虚假出资金额5%以上15%以下的罚款。</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按公司章程中规定的出资时间按期出资。</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行政许可服务科                              （外商投资登记科）81170051</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rPr>
          <w:rFonts w:hint="default" w:ascii="方正小标宋_GBK" w:hAnsi="方正小标宋_GBK" w:eastAsia="方正小标宋_GBK" w:cs="方正小标宋_GBK"/>
          <w:sz w:val="44"/>
          <w:szCs w:val="44"/>
          <w:lang w:val="en-US" w:eastAsia="zh-CN" w:bidi="zh-CN"/>
        </w:rPr>
      </w:pPr>
      <w:r>
        <w:rPr>
          <w:rFonts w:hint="default" w:ascii="方正小标宋_GBK" w:hAnsi="方正小标宋_GBK" w:eastAsia="方正小标宋_GBK" w:cs="方正小标宋_GBK"/>
          <w:sz w:val="44"/>
          <w:szCs w:val="44"/>
          <w:lang w:val="en-US" w:eastAsia="zh-CN" w:bidi="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default" w:ascii="楷体" w:eastAsia="楷体"/>
          <w:sz w:val="28"/>
          <w:szCs w:val="28"/>
          <w:lang w:val="en-US" w:eastAsia="zh-CN"/>
        </w:rPr>
      </w:pPr>
      <w:bookmarkStart w:id="8" w:name="bookmark7"/>
      <w:r>
        <w:rPr>
          <w:rFonts w:hint="default" w:ascii="楷体" w:eastAsia="楷体"/>
          <w:sz w:val="28"/>
          <w:szCs w:val="28"/>
          <w:lang w:val="en-US" w:eastAsia="zh-CN"/>
        </w:rPr>
        <w:t>适用于广告发布单位：</w:t>
      </w:r>
      <w:bookmarkEnd w:id="8"/>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252"/>
        <w:gridCol w:w="2466"/>
        <w:gridCol w:w="5488"/>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252"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46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488"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25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广告不得含有商品或者服务不存在的虚假内容</w:t>
            </w:r>
          </w:p>
        </w:tc>
        <w:tc>
          <w:tcPr>
            <w:tcW w:w="2466" w:type="dxa"/>
            <w:tcMar>
              <w:top w:w="57" w:type="dxa"/>
              <w:left w:w="57" w:type="dxa"/>
              <w:bottom w:w="57" w:type="dxa"/>
              <w:right w:w="57" w:type="dxa"/>
            </w:tcMar>
            <w:vAlign w:val="top"/>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此类广告虚构了商品或服务本身，客观上没有任何商品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服务</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2.发布者主观上没有提供任何商品或服务的打算</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3.诱使消费者对商品或服务产生错误理解，骗取钱财。</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如</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以</w:t>
            </w:r>
            <w:r>
              <w:rPr>
                <w:rFonts w:hint="eastAsia" w:ascii="方正楷体_GBK" w:hAnsi="方正楷体_GBK" w:eastAsia="方正楷体_GBK" w:cs="方正楷体_GBK"/>
                <w:sz w:val="16"/>
                <w:szCs w:val="16"/>
                <w:lang w:val="en-US" w:eastAsia="zh-CN"/>
              </w:rPr>
              <w:t>广告宣传的商品或服务为诱饵吸引消费者前来购买，当消费者想购买时则以广告商品已售完为由表示不能出售，同时向消费者推荐其他商品；以寻求“加工”“接产”或转让传授技术以及出售具有实用价值的技术资料或者致富信息为名骗取钱财。</w:t>
            </w:r>
          </w:p>
        </w:tc>
        <w:tc>
          <w:tcPr>
            <w:tcW w:w="5488"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广告不得含有虚假或者引人误解的内容，不得欺骗、误导消费者。</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第二十八条第二款第（</w:t>
            </w: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）项  广告有下列情形之一的，为虚假广告</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（一）商品或者服务不存在的；</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发布虚假广告的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由市场监督管理部门责令停止发布广告</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责令广告主在相应范围内消除影响，处广告费用三倍以上五倍以下的罚款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广告费用无法计算或者明显偏低的，处二十万元以上一百万元以下的罚款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两年内有三次以上违法行为或者有其他严重情节的，处广告费用五倍以上十倍以下的罚款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广告费用无法计算或者明显偏低的，处一百万元以上二百万元以下的罚款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可以吊销营业执照</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并由广告审查机关撤销广告审查批准文件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一年内不受理其广告审查申请。</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广告活动必须符合法律的规定，真实、客观地宣传有关商品或者服务，不得含有商品或者服务不存在的虚假或者引人误解的内容，不得欺骗、误导消费者。</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市场科81170012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9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25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广告不得含有商品或者服务与实际情况不符的虚假内容</w:t>
            </w:r>
          </w:p>
        </w:tc>
        <w:tc>
          <w:tcPr>
            <w:tcW w:w="246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对商品或者服务内容进行编造、伪造、虚夸，与实际情况明显不符；</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诱使消费者对商品或者服务产生错误理解，影响其选择。</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如，国产产品虚假宣传为日本进口；某商品实际制冷量为2660W</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虚假宣传为</w:t>
            </w:r>
            <w:r>
              <w:rPr>
                <w:rFonts w:hint="eastAsia" w:ascii="方正楷体_GBK" w:hAnsi="方正楷体_GBK" w:eastAsia="方正楷体_GBK" w:cs="方正楷体_GBK"/>
                <w:sz w:val="16"/>
                <w:szCs w:val="16"/>
                <w:lang w:val="en-US" w:eastAsia="zh-CN"/>
              </w:rPr>
              <w:t>“</w:t>
            </w:r>
            <w:r>
              <w:rPr>
                <w:rFonts w:hint="default" w:ascii="Times New Roman" w:hAnsi="Times New Roman" w:eastAsia="方正楷体_GBK" w:cs="Times New Roman"/>
                <w:sz w:val="16"/>
                <w:szCs w:val="16"/>
                <w:lang w:val="en-US" w:eastAsia="zh-CN"/>
              </w:rPr>
              <w:t>9000W制冷量</w:t>
            </w:r>
            <w:r>
              <w:rPr>
                <w:rFonts w:hint="eastAsia" w:ascii="方正楷体_GBK" w:hAnsi="方正楷体_GBK" w:eastAsia="方正楷体_GBK" w:cs="方正楷体_GBK"/>
                <w:sz w:val="16"/>
                <w:szCs w:val="16"/>
                <w:lang w:val="en-US" w:eastAsia="zh-CN"/>
              </w:rPr>
              <w:t>”</w:t>
            </w:r>
            <w:r>
              <w:rPr>
                <w:rFonts w:hint="default" w:ascii="Times New Roman" w:hAnsi="Times New Roman" w:eastAsia="方正楷体_GBK" w:cs="Times New Roman"/>
                <w:sz w:val="16"/>
                <w:szCs w:val="16"/>
                <w:lang w:val="en-US" w:eastAsia="zh-CN"/>
              </w:rPr>
              <w:t>；房</w:t>
            </w:r>
            <w:r>
              <w:rPr>
                <w:rFonts w:hint="eastAsia" w:ascii="方正楷体_GBK" w:hAnsi="方正楷体_GBK" w:eastAsia="方正楷体_GBK" w:cs="方正楷体_GBK"/>
                <w:sz w:val="16"/>
                <w:szCs w:val="16"/>
                <w:lang w:val="en-US" w:eastAsia="zh-CN"/>
              </w:rPr>
              <w:t>地产广告将公共绿地虚假宣传为“院子”“私家庭院”“私家花园”；虚假宣传“质量信得过产品”“国家高新技术企业认定”“诚信示范企业”；虚假宣传与各大银行、保险公司等机构建立长期战略合作关系；虚假宣传“近三万人好评”；虚假宣传商品为“中科院联合研制”；虚假宣传某口罩为“灭菌级”“防雾霾</w:t>
            </w:r>
            <w:r>
              <w:rPr>
                <w:rFonts w:hint="eastAsia" w:ascii="方正楷体_GBK" w:hAnsi="方正楷体_GBK" w:eastAsia="方正楷体_GBK" w:cs="方正楷体_GBK"/>
                <w:sz w:val="16"/>
                <w:szCs w:val="16"/>
                <w:highlight w:val="none"/>
                <w:lang w:val="en-US" w:eastAsia="zh-CN"/>
              </w:rPr>
              <w:t>-</w:t>
            </w:r>
            <w:r>
              <w:rPr>
                <w:rFonts w:hint="eastAsia" w:ascii="方正楷体_GBK" w:hAnsi="方正楷体_GBK" w:eastAsia="方正楷体_GBK" w:cs="方正楷体_GBK"/>
                <w:sz w:val="16"/>
                <w:szCs w:val="16"/>
                <w:lang w:val="en-US" w:eastAsia="zh-CN"/>
              </w:rPr>
              <w:t>防沙尘</w:t>
            </w:r>
            <w:r>
              <w:rPr>
                <w:rFonts w:hint="eastAsia" w:ascii="方正楷体_GBK" w:hAnsi="方正楷体_GBK" w:eastAsia="方正楷体_GBK" w:cs="方正楷体_GBK"/>
                <w:sz w:val="16"/>
                <w:szCs w:val="16"/>
                <w:highlight w:val="none"/>
                <w:lang w:val="en-US" w:eastAsia="zh-CN"/>
              </w:rPr>
              <w:t>-</w:t>
            </w:r>
            <w:r>
              <w:rPr>
                <w:rFonts w:hint="eastAsia" w:ascii="方正楷体_GBK" w:hAnsi="方正楷体_GBK" w:eastAsia="方正楷体_GBK" w:cs="方正楷体_GBK"/>
                <w:sz w:val="16"/>
                <w:szCs w:val="16"/>
                <w:lang w:val="en-US" w:eastAsia="zh-CN"/>
              </w:rPr>
              <w:t>防病菌</w:t>
            </w:r>
            <w:r>
              <w:rPr>
                <w:rFonts w:hint="eastAsia" w:ascii="方正楷体_GBK" w:hAnsi="方正楷体_GBK" w:eastAsia="方正楷体_GBK" w:cs="方正楷体_GBK"/>
                <w:sz w:val="16"/>
                <w:szCs w:val="16"/>
                <w:highlight w:val="none"/>
                <w:lang w:val="en-US" w:eastAsia="zh-CN"/>
              </w:rPr>
              <w:t>-</w:t>
            </w:r>
            <w:r>
              <w:rPr>
                <w:rFonts w:hint="eastAsia" w:ascii="方正楷体_GBK" w:hAnsi="方正楷体_GBK" w:eastAsia="方正楷体_GBK" w:cs="方正楷体_GBK"/>
                <w:sz w:val="16"/>
                <w:szCs w:val="16"/>
                <w:lang w:val="en-US" w:eastAsia="zh-CN"/>
              </w:rPr>
              <w:t>抗过敏”等。</w:t>
            </w:r>
          </w:p>
        </w:tc>
        <w:tc>
          <w:tcPr>
            <w:tcW w:w="5488"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广告不得含有虚假或者引人误解的内容，不得欺骗、误导消费者。</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第二十八条第二款第（二）项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广告有下列情形之一的，为虚假广告</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（二）商品的性能、功能、产地、用途、质量、规格、成分、价格、生产者、有效期限、销售状况、曾获荣誉等信息，或者服务的内容、提供者、形式、质量、价格、销售状况、曾获荣誉等信息</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以及与商品或者服务有关的允诺等信息与实际情况不符，对购买行为有实质性影响的</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广告活动必须符合法律的规定，真实、客观地宣传有关商品或者服务：</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商品性能、功能、产地、用途、质量、规格、成分、价格、生产者、有效期限、销售状况、曾获荣誉等信息不得与实际情况不符；</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服务内容、提供者、形式、质量、价格、销售状况、曾获荣誉等信息不得与实际情况不符；</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商品或者服务有关的允诺等信息不得与实际情况不符；</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（四）</w:t>
            </w:r>
            <w:r>
              <w:rPr>
                <w:rFonts w:hint="default" w:ascii="Times New Roman" w:hAnsi="Times New Roman" w:eastAsia="方正楷体_GBK" w:cs="Times New Roman"/>
                <w:sz w:val="16"/>
                <w:szCs w:val="16"/>
                <w:lang w:val="en-US" w:eastAsia="zh-CN"/>
              </w:rPr>
              <w:t>不得含有对购买行为有实质性影响的虚假或者引人误解的内容，不得欺骗、误导消费者。</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市场科81170012</w:t>
            </w:r>
          </w:p>
        </w:tc>
      </w:tr>
    </w:tbl>
    <w:p>
      <w:pPr>
        <w:rPr>
          <w:rFonts w:hint="default" w:ascii="方正小标宋_GBK" w:hAnsi="方正小标宋_GBK" w:eastAsia="方正小标宋_GBK" w:cs="方正小标宋_GBK"/>
          <w:sz w:val="44"/>
          <w:szCs w:val="44"/>
          <w:lang w:val="en-US" w:eastAsia="zh-CN" w:bidi="zh-CN"/>
        </w:rPr>
      </w:pPr>
      <w:r>
        <w:rPr>
          <w:rFonts w:hint="default" w:ascii="方正小标宋_GBK" w:hAnsi="方正小标宋_GBK" w:eastAsia="方正小标宋_GBK" w:cs="方正小标宋_GBK"/>
          <w:sz w:val="44"/>
          <w:szCs w:val="44"/>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64"/>
        <w:gridCol w:w="5503"/>
        <w:gridCol w:w="735"/>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64"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03"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35"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广告不得使用虚构、伪造、无法验证的信息作证明材料</w:t>
            </w:r>
          </w:p>
        </w:tc>
        <w:tc>
          <w:tcPr>
            <w:tcW w:w="2364"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此类广告中使用虚构、伪造或者无法验证的科研成果、统计资料、调查结果、文摘、引用语等信息作为证明材料。</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方正楷体_GBK" w:hAnsi="方正楷体_GBK" w:eastAsia="方正楷体_GBK" w:cs="方正楷体_GBK"/>
                <w:sz w:val="16"/>
                <w:szCs w:val="16"/>
              </w:rPr>
              <w:t>广告中使用“权威研究表明……”</w:t>
            </w:r>
            <w:r>
              <w:rPr>
                <w:rFonts w:hint="eastAsia" w:ascii="方正楷体_GBK" w:hAnsi="方正楷体_GBK" w:eastAsia="方正楷体_GBK" w:cs="方正楷体_GBK"/>
                <w:sz w:val="16"/>
                <w:szCs w:val="16"/>
                <w:lang w:eastAsia="zh-CN"/>
              </w:rPr>
              <w:t>，</w:t>
            </w:r>
            <w:r>
              <w:rPr>
                <w:rFonts w:hint="eastAsia" w:ascii="方正楷体_GBK" w:hAnsi="方正楷体_GBK" w:eastAsia="方正楷体_GBK" w:cs="方正楷体_GBK"/>
                <w:sz w:val="16"/>
                <w:szCs w:val="16"/>
              </w:rPr>
              <w:t>但该研究实为虚构、伪造或者无法验证的</w:t>
            </w:r>
            <w:r>
              <w:rPr>
                <w:rFonts w:hint="default" w:ascii="Times New Roman" w:hAnsi="Times New Roman" w:eastAsia="方正楷体_GBK" w:cs="Times New Roman"/>
                <w:sz w:val="16"/>
                <w:szCs w:val="16"/>
              </w:rPr>
              <w:t>。</w:t>
            </w:r>
          </w:p>
        </w:tc>
        <w:tc>
          <w:tcPr>
            <w:tcW w:w="5503"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广告不得含有虚假或者引人误解的内容，不得欺骗、误导消费者。</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第二十八条第二款第（三）项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广告有下列情形之一的，为虚假广告：</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（三）使用虚构、伪造或者无法验证的科研成果、统计资料、调查结果、文摘、引用语等信息作证明材料的；</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发布虚假广告的，由市场监督管理部门责令停止发布广告，责令广告主在相应范围内消除影响，处广告费用三倍以上五倍以下的罚款，广告费用无法计算或者明显偏低的，处二十万元以上一百万元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735"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广告活动必须符合法律的规定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真实</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客观地宣传有关商品或者服务，不得使用虚构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伪造或者无法验证的科研成果</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统计资料</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调查结果</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文摘</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引用语等信息作证明材料</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不得欺骗、误导消费者</w:t>
            </w:r>
            <w:r>
              <w:rPr>
                <w:rFonts w:hint="eastAsia" w:ascii="Times New Roman" w:hAnsi="Times New Roman" w:eastAsia="方正楷体_GBK" w:cs="Times New Roman"/>
                <w:sz w:val="16"/>
                <w:szCs w:val="16"/>
                <w:lang w:eastAsia="zh-CN"/>
              </w:rPr>
              <w:t>。</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广告不得虚构使用商品或者接受服务的效果</w:t>
            </w:r>
          </w:p>
        </w:tc>
        <w:tc>
          <w:tcPr>
            <w:tcW w:w="2364"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1.虚构普通消费者使用商品或接受服务的经历，对商品或者服务进行宣传；</w:t>
            </w:r>
          </w:p>
          <w:p>
            <w:pPr>
              <w:pStyle w:val="16"/>
              <w:bidi w:val="0"/>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2.利用普通消费者对公众人物的崇拜心理，聘请公众人物代言商品，虚构使用商品或者接受服务的效果进行宣传</w:t>
            </w:r>
            <w:r>
              <w:rPr>
                <w:rFonts w:hint="eastAsia" w:ascii="Times New Roman" w:hAnsi="Times New Roman" w:eastAsia="方正楷体_GBK" w:cs="Times New Roman"/>
                <w:sz w:val="16"/>
                <w:szCs w:val="16"/>
                <w:lang w:eastAsia="zh-CN"/>
              </w:rPr>
              <w:t>。</w:t>
            </w:r>
          </w:p>
        </w:tc>
        <w:tc>
          <w:tcPr>
            <w:tcW w:w="5503"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广告不得含有虚假或者引人误解的内容，不得欺骗、误导消费者。</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第二十八条第二款第（四）项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广告有下列情形之一的，为虚假广告：</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（四）虚构使用商品或者接受服务的效果的；</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735"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广告活动必须符合法律的规定，真实</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客观地宣传有关商品或者服务</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不得虚构使用商品或者接受服务的效果</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不得欺骗</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误导消费者</w:t>
            </w:r>
            <w:r>
              <w:rPr>
                <w:rFonts w:hint="eastAsia" w:ascii="Times New Roman" w:hAnsi="Times New Roman" w:eastAsia="方正楷体_GBK" w:cs="Times New Roman"/>
                <w:sz w:val="16"/>
                <w:szCs w:val="16"/>
                <w:lang w:eastAsia="zh-CN"/>
              </w:rPr>
              <w:t>。</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广告不得谎称商品生产经营者或者服务提供者已取得应当取得的资质</w:t>
            </w:r>
          </w:p>
        </w:tc>
        <w:tc>
          <w:tcPr>
            <w:tcW w:w="2364"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广告宣传的商品生产经营者或者服务提供者应当取得许可证、其他批准文件或者营业执照，未取得而谎称取得的。</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如，生产经营者未取得营业执照、食品经营者未取得食品经营许可证、医疗器械经营者未取得医疗器械经营许可证或备案凭证等而谎称取得。</w:t>
            </w:r>
          </w:p>
        </w:tc>
        <w:tc>
          <w:tcPr>
            <w:tcW w:w="5503"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不得欺骗</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误导消费者</w:t>
            </w:r>
            <w:r>
              <w:rPr>
                <w:rFonts w:hint="eastAsia" w:ascii="Times New Roman" w:hAnsi="Times New Roman" w:eastAsia="方正楷体_GBK" w:cs="Times New Roman"/>
                <w:sz w:val="16"/>
                <w:szCs w:val="16"/>
                <w:lang w:val="en-US" w:eastAsia="zh-CN"/>
              </w:rPr>
              <w:t>。</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发布虚假广告的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由市场监督管理部门责令停止发布广告</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责令广告主在相应范围内消除影响</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处广告费用三倍以上五倍以下的罚款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广告费用无法计算或者明显偏低的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处二十万元以上一百万元以下的罚款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两年内有三次以上违法行为或者有其他严重情节的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处广告费用五倍以上十倍以下的罚款，广告费用无法计算或者明显偏低的，处一百万元以上二百万元以下的罚款，可以吊销营业执照，并由广告审查机关撤销广告审查批准文件、一年内不受理其广告审查申请。</w:t>
            </w:r>
          </w:p>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【地方性法规】《江苏省广告条例》（2019修订）</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第十一条第二款第（二）项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广告有下列情形之一的，为虚假广告：</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（二）宣传的商品生产经营者或者服务提供者应当取得许可证、其他批准文件或者营业执照，未取得而谎称取得的；</w:t>
            </w:r>
          </w:p>
        </w:tc>
        <w:tc>
          <w:tcPr>
            <w:tcW w:w="735"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广告活动必须符合法律的规定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真实</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客观地宣传有关商品或者服务</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不得谎称已取得应当取得的许可证</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其他批准文件或者营业执照，不得欺骗</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误导消费者。</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bl>
    <w:p>
      <w:pPr>
        <w:pStyle w:val="16"/>
        <w:spacing w:before="4"/>
        <w:rPr>
          <w:rFonts w:ascii="楷体"/>
          <w:sz w:val="14"/>
        </w:rPr>
      </w:pPr>
      <w:r>
        <w:rPr>
          <w:rFonts w:ascii="楷体"/>
          <w:sz w:val="14"/>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64"/>
        <w:gridCol w:w="5503"/>
        <w:gridCol w:w="735"/>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b/>
                <w:bCs/>
                <w:sz w:val="14"/>
              </w:rPr>
            </w:pPr>
          </w:p>
          <w:p>
            <w:pPr>
              <w:pStyle w:val="16"/>
              <w:spacing w:before="1"/>
              <w:ind w:left="104" w:leftChars="0" w:right="87" w:rightChars="0"/>
              <w:jc w:val="center"/>
              <w:rPr>
                <w:rFonts w:hint="eastAsia" w:ascii="黑体" w:hAnsi="宋体" w:eastAsia="黑体" w:cs="宋体"/>
                <w:b/>
                <w:bCs/>
                <w:sz w:val="20"/>
                <w:szCs w:val="22"/>
                <w:lang w:val="en-US" w:eastAsia="zh-CN" w:bidi="zh-CN"/>
              </w:rPr>
            </w:pPr>
            <w:r>
              <w:rPr>
                <w:rFonts w:hint="eastAsia" w:ascii="黑体" w:eastAsia="黑体"/>
                <w:b/>
                <w:bCs/>
                <w:sz w:val="20"/>
              </w:rPr>
              <w:t>序号</w:t>
            </w:r>
          </w:p>
        </w:tc>
        <w:tc>
          <w:tcPr>
            <w:tcW w:w="1354" w:type="dxa"/>
            <w:vAlign w:val="top"/>
          </w:tcPr>
          <w:p>
            <w:pPr>
              <w:pStyle w:val="16"/>
              <w:spacing w:before="4"/>
              <w:rPr>
                <w:rFonts w:ascii="楷体"/>
                <w:b/>
                <w:bCs/>
                <w:sz w:val="14"/>
              </w:rPr>
            </w:pPr>
          </w:p>
          <w:p>
            <w:pPr>
              <w:pStyle w:val="16"/>
              <w:spacing w:before="1"/>
              <w:ind w:left="273" w:leftChars="0" w:right="0" w:rightChars="0"/>
              <w:rPr>
                <w:rFonts w:hint="eastAsia" w:ascii="黑体" w:hAnsi="宋体" w:eastAsia="黑体" w:cs="宋体"/>
                <w:b/>
                <w:bCs/>
                <w:sz w:val="20"/>
                <w:szCs w:val="22"/>
                <w:lang w:val="en-US" w:eastAsia="zh-CN" w:bidi="zh-CN"/>
              </w:rPr>
            </w:pPr>
            <w:r>
              <w:rPr>
                <w:rFonts w:hint="eastAsia" w:ascii="黑体" w:eastAsia="黑体"/>
                <w:b/>
                <w:bCs/>
                <w:sz w:val="20"/>
              </w:rPr>
              <w:t>合规事项</w:t>
            </w:r>
          </w:p>
        </w:tc>
        <w:tc>
          <w:tcPr>
            <w:tcW w:w="2364" w:type="dxa"/>
            <w:vAlign w:val="top"/>
          </w:tcPr>
          <w:p>
            <w:pPr>
              <w:pStyle w:val="16"/>
              <w:spacing w:before="4"/>
              <w:rPr>
                <w:rFonts w:ascii="楷体"/>
                <w:b/>
                <w:bCs/>
                <w:sz w:val="14"/>
              </w:rPr>
            </w:pPr>
          </w:p>
          <w:p>
            <w:pPr>
              <w:pStyle w:val="16"/>
              <w:spacing w:before="1"/>
              <w:ind w:left="287" w:leftChars="0" w:right="0" w:rightChars="0"/>
              <w:rPr>
                <w:rFonts w:hint="eastAsia" w:ascii="黑体" w:hAnsi="宋体" w:eastAsia="黑体" w:cs="宋体"/>
                <w:b/>
                <w:bCs/>
                <w:sz w:val="20"/>
                <w:szCs w:val="22"/>
                <w:lang w:val="en-US" w:eastAsia="zh-CN" w:bidi="zh-CN"/>
              </w:rPr>
            </w:pPr>
            <w:r>
              <w:rPr>
                <w:rFonts w:hint="eastAsia" w:ascii="黑体" w:eastAsia="黑体"/>
                <w:b/>
                <w:bCs/>
                <w:sz w:val="20"/>
              </w:rPr>
              <w:t>常见违法行为表现</w:t>
            </w:r>
          </w:p>
        </w:tc>
        <w:tc>
          <w:tcPr>
            <w:tcW w:w="5503" w:type="dxa"/>
            <w:vAlign w:val="top"/>
          </w:tcPr>
          <w:p>
            <w:pPr>
              <w:pStyle w:val="16"/>
              <w:spacing w:before="4"/>
              <w:rPr>
                <w:rFonts w:ascii="楷体"/>
                <w:b/>
                <w:bCs/>
                <w:sz w:val="14"/>
              </w:rPr>
            </w:pPr>
          </w:p>
          <w:p>
            <w:pPr>
              <w:pStyle w:val="16"/>
              <w:bidi w:val="0"/>
              <w:ind w:left="0" w:leftChars="0" w:right="0" w:rightChars="0"/>
              <w:jc w:val="center"/>
              <w:rPr>
                <w:rFonts w:hint="eastAsia" w:ascii="黑体" w:hAnsi="宋体" w:eastAsia="黑体" w:cs="宋体"/>
                <w:b/>
                <w:bCs/>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35" w:type="dxa"/>
            <w:vAlign w:val="top"/>
          </w:tcPr>
          <w:p>
            <w:pPr>
              <w:pStyle w:val="16"/>
              <w:spacing w:before="28"/>
              <w:ind w:left="172"/>
              <w:rPr>
                <w:rFonts w:hint="eastAsia" w:ascii="黑体" w:eastAsia="黑体"/>
                <w:b/>
                <w:bCs/>
                <w:sz w:val="20"/>
              </w:rPr>
            </w:pPr>
            <w:r>
              <w:rPr>
                <w:rFonts w:hint="eastAsia" w:ascii="黑体" w:eastAsia="黑体"/>
                <w:b/>
                <w:bCs/>
                <w:w w:val="95"/>
                <w:sz w:val="20"/>
              </w:rPr>
              <w:t>风险</w:t>
            </w:r>
          </w:p>
          <w:p>
            <w:pPr>
              <w:pStyle w:val="16"/>
              <w:spacing w:before="56"/>
              <w:ind w:left="172" w:leftChars="0" w:right="0" w:rightChars="0"/>
              <w:rPr>
                <w:rFonts w:hint="eastAsia" w:ascii="黑体" w:hAnsi="宋体" w:eastAsia="黑体" w:cs="宋体"/>
                <w:b/>
                <w:bCs/>
                <w:sz w:val="20"/>
                <w:szCs w:val="22"/>
                <w:lang w:val="en-US" w:eastAsia="zh-CN" w:bidi="zh-CN"/>
              </w:rPr>
            </w:pPr>
            <w:r>
              <w:rPr>
                <w:rFonts w:hint="eastAsia" w:ascii="黑体" w:eastAsia="黑体"/>
                <w:b/>
                <w:bCs/>
                <w:w w:val="95"/>
                <w:sz w:val="20"/>
              </w:rPr>
              <w:t>等级</w:t>
            </w:r>
          </w:p>
        </w:tc>
        <w:tc>
          <w:tcPr>
            <w:tcW w:w="2631" w:type="dxa"/>
            <w:vAlign w:val="top"/>
          </w:tcPr>
          <w:p>
            <w:pPr>
              <w:pStyle w:val="16"/>
              <w:spacing w:before="4"/>
              <w:rPr>
                <w:rFonts w:ascii="楷体"/>
                <w:b/>
                <w:bCs/>
                <w:sz w:val="14"/>
              </w:rPr>
            </w:pPr>
          </w:p>
          <w:p>
            <w:pPr>
              <w:pStyle w:val="16"/>
              <w:spacing w:before="1"/>
              <w:ind w:left="892" w:leftChars="0" w:right="875" w:rightChars="0"/>
              <w:jc w:val="center"/>
              <w:rPr>
                <w:rFonts w:hint="eastAsia" w:ascii="黑体" w:hAnsi="宋体" w:eastAsia="黑体" w:cs="宋体"/>
                <w:b/>
                <w:bCs/>
                <w:sz w:val="20"/>
                <w:szCs w:val="22"/>
                <w:lang w:val="en-US" w:eastAsia="zh-CN" w:bidi="zh-CN"/>
              </w:rPr>
            </w:pPr>
            <w:r>
              <w:rPr>
                <w:rFonts w:hint="eastAsia" w:ascii="黑体" w:eastAsia="黑体"/>
                <w:b/>
                <w:bCs/>
                <w:sz w:val="20"/>
              </w:rPr>
              <w:t>合规建议</w:t>
            </w:r>
          </w:p>
        </w:tc>
        <w:tc>
          <w:tcPr>
            <w:tcW w:w="1117" w:type="dxa"/>
            <w:vAlign w:val="top"/>
          </w:tcPr>
          <w:p>
            <w:pPr>
              <w:pStyle w:val="16"/>
              <w:spacing w:before="28"/>
              <w:ind w:left="156"/>
              <w:rPr>
                <w:rFonts w:hint="eastAsia" w:ascii="黑体" w:eastAsia="黑体"/>
                <w:b/>
                <w:bCs/>
                <w:sz w:val="20"/>
              </w:rPr>
            </w:pPr>
            <w:r>
              <w:rPr>
                <w:rFonts w:hint="eastAsia" w:ascii="黑体" w:eastAsia="黑体"/>
                <w:b/>
                <w:bCs/>
                <w:w w:val="95"/>
                <w:sz w:val="20"/>
              </w:rPr>
              <w:t>指导部门</w:t>
            </w:r>
          </w:p>
          <w:p>
            <w:pPr>
              <w:pStyle w:val="16"/>
              <w:spacing w:before="56"/>
              <w:ind w:left="156" w:leftChars="0" w:right="0" w:rightChars="0"/>
              <w:rPr>
                <w:rFonts w:hint="eastAsia" w:ascii="黑体" w:hAnsi="宋体" w:eastAsia="黑体" w:cs="宋体"/>
                <w:b/>
                <w:bCs/>
                <w:sz w:val="20"/>
                <w:szCs w:val="22"/>
                <w:lang w:val="en-US" w:eastAsia="zh-CN" w:bidi="zh-CN"/>
              </w:rPr>
            </w:pPr>
            <w:r>
              <w:rPr>
                <w:rFonts w:hint="eastAsia" w:ascii="黑体" w:eastAsia="黑体"/>
                <w:b/>
                <w:bCs/>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39" w:hRule="atLeast"/>
        </w:trPr>
        <w:tc>
          <w:tcPr>
            <w:tcW w:w="653" w:type="dxa"/>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6</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广告不得谎称商品或者服务经过审查批准、认证、公证</w:t>
            </w:r>
          </w:p>
        </w:tc>
        <w:tc>
          <w:tcPr>
            <w:tcW w:w="2364"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广告谎称商品或者服务经过审查批准、认证、公证。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如，谎称通过质量体系认证、CE认证等。</w:t>
            </w:r>
          </w:p>
        </w:tc>
        <w:tc>
          <w:tcPr>
            <w:tcW w:w="5503"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【地方性法规】《江苏省广告条例》（2019修订）</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第十一条第二款第（三）项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广告有下列情形之一的，为虚假广告：</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（三）谎称商品或者服务经过审查批准、认证、公证的；</w:t>
            </w:r>
          </w:p>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广告不得含有虚假或者引人误解的内容，不得欺骗、误导消费者。</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735"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广告活动必须符合法律的规定，真实、客观地宣传有关商品或者服务，不得谎称商品或者服务已经过审查批准、认证、公证，不得欺骗、误导消费者。</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市场科81170012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78" w:hRule="atLeast"/>
        </w:trPr>
        <w:tc>
          <w:tcPr>
            <w:tcW w:w="653" w:type="dxa"/>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7</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广告不得使用虚构、伪造的</w:t>
            </w:r>
            <w:r>
              <w:rPr>
                <w:rFonts w:hint="default" w:ascii="Times New Roman" w:hAnsi="Times New Roman" w:eastAsia="方正楷体_GBK" w:cs="Times New Roman"/>
                <w:sz w:val="16"/>
                <w:szCs w:val="16"/>
                <w:highlight w:val="none"/>
                <w:lang w:val="en-US" w:eastAsia="zh-CN"/>
              </w:rPr>
              <w:t>机构作</w:t>
            </w:r>
            <w:r>
              <w:rPr>
                <w:rFonts w:hint="default" w:ascii="Times New Roman" w:hAnsi="Times New Roman" w:eastAsia="方正楷体_GBK" w:cs="Times New Roman"/>
                <w:sz w:val="16"/>
                <w:szCs w:val="16"/>
                <w:lang w:val="en-US" w:eastAsia="zh-CN"/>
              </w:rPr>
              <w:t>证明</w:t>
            </w:r>
          </w:p>
        </w:tc>
        <w:tc>
          <w:tcPr>
            <w:tcW w:w="2364"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广告使用虚构、伪造的</w:t>
            </w:r>
            <w:r>
              <w:rPr>
                <w:rFonts w:hint="default" w:ascii="Times New Roman" w:hAnsi="Times New Roman" w:eastAsia="方正楷体_GBK" w:cs="Times New Roman"/>
                <w:sz w:val="16"/>
                <w:szCs w:val="16"/>
                <w:highlight w:val="none"/>
                <w:lang w:val="en-US" w:eastAsia="zh-CN"/>
              </w:rPr>
              <w:t>机构作</w:t>
            </w:r>
            <w:r>
              <w:rPr>
                <w:rFonts w:hint="default" w:ascii="Times New Roman" w:hAnsi="Times New Roman" w:eastAsia="方正楷体_GBK" w:cs="Times New Roman"/>
                <w:sz w:val="16"/>
                <w:szCs w:val="16"/>
                <w:lang w:val="en-US" w:eastAsia="zh-CN"/>
              </w:rPr>
              <w:t>证明。</w:t>
            </w:r>
          </w:p>
        </w:tc>
        <w:tc>
          <w:tcPr>
            <w:tcW w:w="5503"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【地方性法规】《江苏省广告条例》（2019修订）</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第十一条第二款第（四）项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广告有下列情形之一的，为虚假广告</w:t>
            </w:r>
            <w:r>
              <w:rPr>
                <w:rFonts w:hint="eastAsia" w:ascii="Times New Roman" w:hAnsi="Times New Roman" w:eastAsia="方正楷体_GBK" w:cs="Times New Roman"/>
                <w:sz w:val="16"/>
                <w:szCs w:val="16"/>
                <w:lang w:val="en-US" w:eastAsia="zh-CN"/>
              </w:rPr>
              <w:t>：</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（四）使用虚构、伪造的</w:t>
            </w:r>
            <w:r>
              <w:rPr>
                <w:rFonts w:hint="default" w:ascii="Times New Roman" w:hAnsi="Times New Roman" w:eastAsia="方正楷体_GBK" w:cs="Times New Roman"/>
                <w:sz w:val="16"/>
                <w:szCs w:val="16"/>
                <w:highlight w:val="none"/>
                <w:lang w:val="en-US" w:eastAsia="zh-CN"/>
              </w:rPr>
              <w:t>机构作</w:t>
            </w:r>
            <w:r>
              <w:rPr>
                <w:rFonts w:hint="default" w:ascii="Times New Roman" w:hAnsi="Times New Roman" w:eastAsia="方正楷体_GBK" w:cs="Times New Roman"/>
                <w:sz w:val="16"/>
                <w:szCs w:val="16"/>
                <w:lang w:val="en-US" w:eastAsia="zh-CN"/>
              </w:rPr>
              <w:t>证明的；</w:t>
            </w:r>
          </w:p>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广告不得含有虚假或者引人误解的内容，不得欺骗、误导消费者。</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735"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广告活动必须符合法律的规定，真实、客观地宣传有关商品或者服务，不得使用虚构、伪造的</w:t>
            </w:r>
            <w:r>
              <w:rPr>
                <w:rFonts w:hint="default" w:ascii="Times New Roman" w:hAnsi="Times New Roman" w:eastAsia="方正楷体_GBK" w:cs="Times New Roman"/>
                <w:sz w:val="16"/>
                <w:szCs w:val="16"/>
                <w:highlight w:val="none"/>
                <w:lang w:val="en-US" w:eastAsia="zh-CN"/>
              </w:rPr>
              <w:t>机构作</w:t>
            </w:r>
            <w:r>
              <w:rPr>
                <w:rFonts w:hint="default" w:ascii="Times New Roman" w:hAnsi="Times New Roman" w:eastAsia="方正楷体_GBK" w:cs="Times New Roman"/>
                <w:sz w:val="16"/>
                <w:szCs w:val="16"/>
                <w:lang w:val="en-US" w:eastAsia="zh-CN"/>
              </w:rPr>
              <w:t>证明，不得欺骗、误导消费者。</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市场科81170012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9" w:hRule="atLeast"/>
        </w:trPr>
        <w:tc>
          <w:tcPr>
            <w:tcW w:w="653" w:type="dxa"/>
            <w:vAlign w:val="center"/>
          </w:tcPr>
          <w:p>
            <w:pPr>
              <w:keepNext w:val="0"/>
              <w:keepLines w:val="0"/>
              <w:widowControl/>
              <w:suppressLineNumbers w:val="0"/>
              <w:ind w:left="0" w:leftChars="0" w:right="0" w:rightChars="0"/>
              <w:jc w:val="center"/>
              <w:textAlignment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8</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广告不得利用其他广告参与者作虚假证明、认定或冒充专业人员进行宣传</w:t>
            </w:r>
          </w:p>
        </w:tc>
        <w:tc>
          <w:tcPr>
            <w:tcW w:w="2364"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广告利用广告代言人等其他广告参与者对商品或者服务作虚假证明、认定，或者利用非专业人员冒充专业人员进行宣传。</w:t>
            </w:r>
          </w:p>
        </w:tc>
        <w:tc>
          <w:tcPr>
            <w:tcW w:w="5503"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【地方性法规】《江苏省广告条例》（2019修订）</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第十一条第二款第（五）项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广告有下列情形之一的，为虚假广告</w:t>
            </w:r>
            <w:r>
              <w:rPr>
                <w:rFonts w:hint="eastAsia" w:ascii="Times New Roman" w:hAnsi="Times New Roman" w:eastAsia="方正楷体_GBK" w:cs="Times New Roman"/>
                <w:sz w:val="16"/>
                <w:szCs w:val="16"/>
                <w:lang w:val="en-US" w:eastAsia="zh-CN"/>
              </w:rPr>
              <w:t>：</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（五）利用广告代言人等其他广告参与者对商品或者服务作虚假证明、认定，或者利用非专业人员冒充专业人员进行宣传的；</w:t>
            </w:r>
          </w:p>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广告不得含有虚假或者引人误解的内容，不得欺骗、误导消费者。</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735"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广告活动必须符合法律的规定，真实、客观地宣传有关商品或者服务，不得利用广告代言人等其他广告参与者对商品或者服务作虚假证明、认定，或者利用非专业人员冒充专业人员进行宣传，不得欺骗、误导消费者。</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广告代言人，是指广告主以外的，在广告中以自己的名义或者形象对商品、服务作推荐、证明的自然人、法人或者其他组织。</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市场科81170012</w:t>
            </w:r>
          </w:p>
        </w:tc>
      </w:tr>
    </w:tbl>
    <w:p>
      <w:pPr>
        <w:pStyle w:val="16"/>
        <w:bidi w:val="0"/>
        <w:jc w:val="center"/>
        <w:rPr>
          <w:rFonts w:hint="eastAsia" w:ascii="黑体" w:hAnsi="黑体" w:eastAsia="黑体" w:cs="黑体"/>
          <w:b/>
          <w:bCs/>
        </w:rPr>
      </w:pPr>
      <w:r>
        <w:rPr>
          <w:rFonts w:hint="eastAsia" w:ascii="黑体" w:hAnsi="黑体" w:eastAsia="黑体" w:cs="黑体"/>
          <w:b/>
          <w:bCs/>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64"/>
        <w:gridCol w:w="5503"/>
        <w:gridCol w:w="735"/>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序号</w:t>
            </w:r>
          </w:p>
        </w:tc>
        <w:tc>
          <w:tcPr>
            <w:tcW w:w="1354" w:type="dxa"/>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合规事项</w:t>
            </w:r>
          </w:p>
        </w:tc>
        <w:tc>
          <w:tcPr>
            <w:tcW w:w="2364" w:type="dxa"/>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常见违法行为表现</w:t>
            </w:r>
          </w:p>
        </w:tc>
        <w:tc>
          <w:tcPr>
            <w:tcW w:w="5503" w:type="dxa"/>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35" w:type="dxa"/>
            <w:vAlign w:val="center"/>
          </w:tcPr>
          <w:p>
            <w:pPr>
              <w:pStyle w:val="16"/>
              <w:bidi w:val="0"/>
              <w:jc w:val="center"/>
              <w:rPr>
                <w:rFonts w:hint="eastAsia" w:ascii="黑体" w:hAnsi="黑体" w:eastAsia="黑体" w:cs="黑体"/>
                <w:b/>
                <w:bCs/>
              </w:rPr>
            </w:pPr>
            <w:r>
              <w:rPr>
                <w:rFonts w:hint="eastAsia" w:ascii="黑体" w:hAnsi="黑体" w:eastAsia="黑体" w:cs="黑体"/>
                <w:b/>
                <w:bCs/>
              </w:rPr>
              <w:t>风险</w:t>
            </w:r>
          </w:p>
          <w:p>
            <w:pPr>
              <w:pStyle w:val="16"/>
              <w:bidi w:val="0"/>
              <w:jc w:val="center"/>
              <w:rPr>
                <w:rFonts w:hint="eastAsia" w:ascii="黑体" w:hAnsi="黑体" w:eastAsia="黑体" w:cs="黑体"/>
                <w:b/>
                <w:bCs/>
                <w:lang w:val="en-US" w:eastAsia="zh-CN"/>
              </w:rPr>
            </w:pPr>
            <w:r>
              <w:rPr>
                <w:rFonts w:hint="eastAsia" w:ascii="黑体" w:hAnsi="黑体" w:eastAsia="黑体" w:cs="黑体"/>
                <w:b/>
                <w:bCs/>
              </w:rPr>
              <w:t>等级</w:t>
            </w:r>
          </w:p>
        </w:tc>
        <w:tc>
          <w:tcPr>
            <w:tcW w:w="2631" w:type="dxa"/>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合规建议</w:t>
            </w:r>
          </w:p>
        </w:tc>
        <w:tc>
          <w:tcPr>
            <w:tcW w:w="1117" w:type="dxa"/>
            <w:vAlign w:val="center"/>
          </w:tcPr>
          <w:p>
            <w:pPr>
              <w:pStyle w:val="16"/>
              <w:bidi w:val="0"/>
              <w:jc w:val="center"/>
              <w:rPr>
                <w:rFonts w:hint="eastAsia" w:ascii="黑体" w:hAnsi="黑体" w:eastAsia="黑体" w:cs="黑体"/>
                <w:b/>
                <w:bCs/>
              </w:rPr>
            </w:pPr>
            <w:r>
              <w:rPr>
                <w:rFonts w:hint="eastAsia" w:ascii="黑体" w:hAnsi="黑体" w:eastAsia="黑体" w:cs="黑体"/>
                <w:b/>
                <w:bCs/>
              </w:rPr>
              <w:t>指导部门</w:t>
            </w:r>
          </w:p>
          <w:p>
            <w:pPr>
              <w:pStyle w:val="16"/>
              <w:bidi w:val="0"/>
              <w:jc w:val="center"/>
              <w:rPr>
                <w:rFonts w:hint="eastAsia" w:ascii="黑体" w:hAnsi="黑体" w:eastAsia="黑体" w:cs="黑体"/>
                <w:b/>
                <w:bCs/>
                <w:lang w:val="en-US" w:eastAsia="zh-CN"/>
              </w:rPr>
            </w:pPr>
            <w:r>
              <w:rPr>
                <w:rFonts w:hint="eastAsia" w:ascii="黑体" w:hAnsi="黑体" w:eastAsia="黑体" w:cs="黑体"/>
                <w:b/>
                <w:bCs/>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0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9</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广告不得虚构断货、抢购、优惠</w:t>
            </w:r>
          </w:p>
        </w:tc>
        <w:tc>
          <w:tcPr>
            <w:tcW w:w="2364"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广告虚构断货、抢购、优惠，欺骗、误导消费者。</w:t>
            </w:r>
          </w:p>
        </w:tc>
        <w:tc>
          <w:tcPr>
            <w:tcW w:w="5503"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【地方性法规】《江苏省广告条例》（2019修订）</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第十一条第二款第（六）项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广告有下列情形之一的，为虚假广告：</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（六）虚构断货、抢购、优惠的；</w:t>
            </w:r>
          </w:p>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广告不得含有虚假或者引人误解的内容，不得欺骗、误导消费者。</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735"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广告活动必须符合法律的规定，真实、客观地宣传有关商品或者服务，不得虚构断货、抢购、优惠等内容，不得欺骗、误导消费者。</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10</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广告经营者、广告发布者明知或者应知广告虚假不得设计、制作、代理、发布</w:t>
            </w:r>
          </w:p>
        </w:tc>
        <w:tc>
          <w:tcPr>
            <w:tcW w:w="2364"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广告经营者、广告发布者存在主观过错，明知或者应知广告虚假仍设计、制作、代理、发布。</w:t>
            </w:r>
          </w:p>
        </w:tc>
        <w:tc>
          <w:tcPr>
            <w:tcW w:w="5503"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第五十五条第三款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经营者、广告发布者明知或者应知广告虚假仍设计、制作、代理、发布的，由市场监督管理部门没收广告费用，并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并可以由有关部门暂停广告发布业务、吊销营业执照。</w:t>
            </w:r>
          </w:p>
        </w:tc>
        <w:tc>
          <w:tcPr>
            <w:tcW w:w="735"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top"/>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经营者（接受委托提供广告设计、制作、代理服务的自然人、法人或者其他组织）、广告发布者（为广告主或者广告主委托的广告经营者发布广告的自然人、法人或者其他组织）明知或者应知广告虚假，不得设计、制作、代理、发布。</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7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11</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广告不得使用绝对化用语</w:t>
            </w:r>
          </w:p>
        </w:tc>
        <w:tc>
          <w:tcPr>
            <w:tcW w:w="2364"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广告中使用：</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w:t>
            </w: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rPr>
              <w:t>）</w:t>
            </w:r>
            <w:r>
              <w:rPr>
                <w:rFonts w:hint="eastAsia" w:ascii="方正楷体_GBK" w:hAnsi="方正楷体_GBK" w:eastAsia="方正楷体_GBK" w:cs="方正楷体_GBK"/>
                <w:sz w:val="16"/>
                <w:szCs w:val="16"/>
              </w:rPr>
              <w:t>最高级的形容词，如“最好”“最强”“最佳”“最棒”等</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w:t>
            </w: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rPr>
              <w:t>）</w:t>
            </w:r>
            <w:r>
              <w:rPr>
                <w:rFonts w:hint="eastAsia" w:ascii="方正楷体_GBK" w:hAnsi="方正楷体_GBK" w:eastAsia="方正楷体_GBK" w:cs="方正楷体_GBK"/>
                <w:sz w:val="16"/>
                <w:szCs w:val="16"/>
              </w:rPr>
              <w:t>以一定的地域、整体作为形容词，如“国家级”“世界级”等</w:t>
            </w:r>
            <w:r>
              <w:rPr>
                <w:rFonts w:hint="default" w:ascii="Times New Roman" w:hAnsi="Times New Roman" w:eastAsia="方正楷体_GBK" w:cs="Times New Roman"/>
                <w:sz w:val="16"/>
                <w:szCs w:val="16"/>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rPr>
              <w:t>）</w:t>
            </w:r>
            <w:r>
              <w:rPr>
                <w:rFonts w:hint="eastAsia" w:ascii="方正楷体_GBK" w:hAnsi="方正楷体_GBK" w:eastAsia="方正楷体_GBK" w:cs="方正楷体_GBK"/>
                <w:sz w:val="16"/>
                <w:szCs w:val="16"/>
              </w:rPr>
              <w:t>效果等同于最高级的，如“顶级”“极品”“消费者首选品牌”等</w:t>
            </w:r>
            <w:r>
              <w:rPr>
                <w:rFonts w:hint="default" w:ascii="Times New Roman" w:hAnsi="Times New Roman" w:eastAsia="方正楷体_GBK" w:cs="Times New Roman"/>
                <w:sz w:val="16"/>
                <w:szCs w:val="16"/>
              </w:rPr>
              <w:t>。</w:t>
            </w:r>
          </w:p>
        </w:tc>
        <w:tc>
          <w:tcPr>
            <w:tcW w:w="5503"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第九条第</w:t>
            </w: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广告不得有下列情形：</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（三）使用</w:t>
            </w:r>
            <w:r>
              <w:rPr>
                <w:rFonts w:hint="eastAsia" w:ascii="方正楷体_GBK" w:hAnsi="方正楷体_GBK" w:eastAsia="方正楷体_GBK" w:cs="方正楷体_GBK"/>
                <w:sz w:val="16"/>
                <w:szCs w:val="16"/>
                <w:lang w:val="en-US" w:eastAsia="zh-CN"/>
              </w:rPr>
              <w:t>“国家级</w:t>
            </w:r>
            <w:r>
              <w:rPr>
                <w:rFonts w:hint="eastAsia" w:ascii="方正楷体_GBK" w:hAnsi="方正楷体_GBK" w:eastAsia="方正楷体_GBK" w:cs="方正楷体_GBK"/>
                <w:sz w:val="16"/>
                <w:szCs w:val="16"/>
                <w:highlight w:val="none"/>
                <w:lang w:val="en-US" w:eastAsia="zh-CN"/>
              </w:rPr>
              <w:t>”、“</w:t>
            </w:r>
            <w:r>
              <w:rPr>
                <w:rFonts w:hint="eastAsia" w:ascii="方正楷体_GBK" w:hAnsi="方正楷体_GBK" w:eastAsia="方正楷体_GBK" w:cs="方正楷体_GBK"/>
                <w:sz w:val="16"/>
                <w:szCs w:val="16"/>
                <w:lang w:val="en-US" w:eastAsia="zh-CN"/>
              </w:rPr>
              <w:t>最高级</w:t>
            </w:r>
            <w:r>
              <w:rPr>
                <w:rFonts w:hint="eastAsia" w:ascii="方正楷体_GBK" w:hAnsi="方正楷体_GBK" w:eastAsia="方正楷体_GBK" w:cs="方正楷体_GBK"/>
                <w:sz w:val="16"/>
                <w:szCs w:val="16"/>
                <w:highlight w:val="none"/>
                <w:lang w:val="en-US" w:eastAsia="zh-CN"/>
              </w:rPr>
              <w:t>”、“</w:t>
            </w:r>
            <w:r>
              <w:rPr>
                <w:rFonts w:hint="eastAsia" w:ascii="方正楷体_GBK" w:hAnsi="方正楷体_GBK" w:eastAsia="方正楷体_GBK" w:cs="方正楷体_GBK"/>
                <w:sz w:val="16"/>
                <w:szCs w:val="16"/>
                <w:lang w:val="en-US" w:eastAsia="zh-CN"/>
              </w:rPr>
              <w:t>最佳”等用语</w:t>
            </w:r>
            <w:r>
              <w:rPr>
                <w:rFonts w:hint="default" w:ascii="Times New Roman" w:hAnsi="Times New Roman" w:eastAsia="方正楷体_GBK" w:cs="Times New Roman"/>
                <w:sz w:val="16"/>
                <w:szCs w:val="16"/>
                <w:lang w:val="en-US" w:eastAsia="zh-CN"/>
              </w:rPr>
              <w:t>；</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第五十七条第（一）项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（一）发布有本法第九条、第十条规定的禁止情形的广告的；</w:t>
            </w:r>
          </w:p>
        </w:tc>
        <w:tc>
          <w:tcPr>
            <w:tcW w:w="735"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广告在介绍商品和服务时可以使用一般的描述</w:t>
            </w:r>
            <w:r>
              <w:rPr>
                <w:rFonts w:hint="eastAsia" w:ascii="方正楷体_GBK" w:hAnsi="方正楷体_GBK" w:eastAsia="方正楷体_GBK" w:cs="方正楷体_GBK"/>
                <w:sz w:val="16"/>
                <w:szCs w:val="16"/>
                <w:lang w:val="en-US" w:eastAsia="zh-CN"/>
              </w:rPr>
              <w:t>商品和服务情况的用语，但不能使用“国家级</w:t>
            </w:r>
            <w:r>
              <w:rPr>
                <w:rFonts w:hint="eastAsia" w:ascii="方正楷体_GBK" w:hAnsi="方正楷体_GBK" w:eastAsia="方正楷体_GBK" w:cs="方正楷体_GBK"/>
                <w:sz w:val="16"/>
                <w:szCs w:val="16"/>
                <w:highlight w:val="none"/>
                <w:lang w:val="en-US" w:eastAsia="zh-CN"/>
              </w:rPr>
              <w:t>”、“</w:t>
            </w:r>
            <w:r>
              <w:rPr>
                <w:rFonts w:hint="eastAsia" w:ascii="方正楷体_GBK" w:hAnsi="方正楷体_GBK" w:eastAsia="方正楷体_GBK" w:cs="方正楷体_GBK"/>
                <w:sz w:val="16"/>
                <w:szCs w:val="16"/>
                <w:lang w:val="en-US" w:eastAsia="zh-CN"/>
              </w:rPr>
              <w:t>最高级</w:t>
            </w:r>
            <w:r>
              <w:rPr>
                <w:rFonts w:hint="eastAsia" w:ascii="方正楷体_GBK" w:hAnsi="方正楷体_GBK" w:eastAsia="方正楷体_GBK" w:cs="方正楷体_GBK"/>
                <w:sz w:val="16"/>
                <w:szCs w:val="16"/>
                <w:highlight w:val="none"/>
                <w:lang w:val="en-US" w:eastAsia="zh-CN"/>
              </w:rPr>
              <w:t>”、“</w:t>
            </w:r>
            <w:r>
              <w:rPr>
                <w:rFonts w:hint="eastAsia" w:ascii="方正楷体_GBK" w:hAnsi="方正楷体_GBK" w:eastAsia="方正楷体_GBK" w:cs="方正楷体_GBK"/>
                <w:sz w:val="16"/>
                <w:szCs w:val="16"/>
                <w:lang w:val="en-US" w:eastAsia="zh-CN"/>
              </w:rPr>
              <w:t>最佳”等绝对化用语</w:t>
            </w:r>
            <w:r>
              <w:rPr>
                <w:rFonts w:hint="default" w:ascii="Times New Roman" w:hAnsi="Times New Roman" w:eastAsia="方正楷体_GBK" w:cs="Times New Roman"/>
                <w:sz w:val="16"/>
                <w:szCs w:val="16"/>
                <w:lang w:val="en-US" w:eastAsia="zh-CN"/>
              </w:rPr>
              <w:t>。</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06"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12</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广告使用的引证内容应当真实、准确，并表明出处，有适用范围和有效期限的应明确表示</w:t>
            </w:r>
          </w:p>
        </w:tc>
        <w:tc>
          <w:tcPr>
            <w:tcW w:w="2364"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1.广告中使用一些不真实或者不正确的数据、统计资料、调查结果、文摘、引用语，或者在使用时不表明出处，内容含糊；</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2.印证内容在广告中的使用超过合理程度，或者与有关材料原意</w:t>
            </w:r>
            <w:r>
              <w:rPr>
                <w:rFonts w:hint="eastAsia" w:ascii="Times New Roman" w:hAnsi="Times New Roman" w:eastAsia="方正楷体_GBK" w:cs="Times New Roman"/>
                <w:sz w:val="16"/>
                <w:szCs w:val="16"/>
                <w:highlight w:val="none"/>
                <w:lang w:eastAsia="zh-CN"/>
              </w:rPr>
              <w:t>相悖</w:t>
            </w:r>
            <w:r>
              <w:rPr>
                <w:rFonts w:hint="default" w:ascii="Times New Roman" w:hAnsi="Times New Roman" w:eastAsia="方正楷体_GBK" w:cs="Times New Roman"/>
                <w:sz w:val="16"/>
                <w:szCs w:val="16"/>
              </w:rPr>
              <w:t>，给消费者造成误解；</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3.印证内容超出适用范围或有效期限，误导消费者。</w:t>
            </w:r>
          </w:p>
        </w:tc>
        <w:tc>
          <w:tcPr>
            <w:tcW w:w="5503"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第十一条第二款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广告使用数据、统计资料、调查结果、文摘、引用语等引证内容的，应当真实、准确，并表明出处。引证内容有适用范围和有效期限的，应当明确表示。</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第五十九条第一款第（二）项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有下列行为之一的，由市场监督管理部门责令停止发布广告，对广告主处十万元以下的罚款：</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（二）广告引证内容违反本法第十一条规定的；</w:t>
            </w:r>
          </w:p>
        </w:tc>
        <w:tc>
          <w:tcPr>
            <w:tcW w:w="735"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1.广告使用数据、统计资料、调查结果、文摘、引用语等引证内容的，应当真实、准确，并表明出处。</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2.引证内容有适用范围和有效期限的，应当明确表示。</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bl>
    <w:p>
      <w:pPr>
        <w:keepNext w:val="0"/>
        <w:keepLines w:val="0"/>
        <w:widowControl/>
        <w:suppressLineNumbers w:val="0"/>
        <w:ind w:left="0" w:leftChars="0" w:right="0" w:rightChars="0"/>
        <w:jc w:val="left"/>
        <w:textAlignment w:val="center"/>
        <w:rPr>
          <w:rFonts w:hint="default" w:ascii="方正楷体_GBK" w:hAnsi="方正楷体_GBK" w:eastAsia="方正楷体_GBK" w:cs="方正楷体_GBK"/>
          <w:sz w:val="16"/>
          <w:szCs w:val="16"/>
          <w:lang w:val="en-US" w:eastAsia="zh-CN" w:bidi="zh-CN"/>
        </w:rPr>
      </w:pP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13</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广告中涉及专利产品或者专利方法的，应当标明专利号和专利种类</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广告中涉及专利产品或者专利方法，专利有效，但未标明专利号或者专利种类。</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第十二条第一款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广告中涉及专利产品或者专利方法的，应当标明专利号和专利种类。</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第五十九条第一款第（三）项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有下列行为之一的，由市场监督管理部门责令停止发布广告，对广告主处十万元以下的罚款：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（三）涉及专利的广告违反本法第十二条规定的；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top"/>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1.为避免引起社会公众的误解和保证涉及专利产品或者专利方法的广告的真实性，涉及专利产品或者专利方法的广告，应当标明专利号和专利种类。</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2.专利号是指国家在授予专利权时在专利证书上载明的用于区别其他专利的号码。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3.专利种类是指《专利法》对其保护对象及发明创造的分类，分为发明专利、实用新型专利和外观设计专利。</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7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14</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未取得专利权的不得在广告中谎称取得</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未取得专利权的，在广告中谎称取得专利权。</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第十二条第二款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未取得专利权的，不得在广告中谎称取得专利权。</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第五十九条第一款第（三）项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有下列行为之一的，由市场监督管理部门责令停止发布广告，对广告主处十万元以下的罚款：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（三）涉及专利的广告违反本法第十二条规定的；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专利权是一项国家法律赋予的权利，需要向专利行政部门提出专利申请，经专利行政部门审查核准后，方可取得。未取得专利权的，不得在广告中谎称取得专利权。</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33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15</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广告不得含有虚构、夸大他人的商品或者服务不足的贬低内容</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广告的内容表现为通过比较，虚构、夸大竞争对象的商品或者服务在质量、工艺、技术、价格等方面存在的不足或者问题，产生诋毁他人商业信誉的效果，以削弱其竞争能力。</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如，在自行制作、发布的视频中宣称</w:t>
            </w:r>
            <w:r>
              <w:rPr>
                <w:rFonts w:hint="eastAsia" w:ascii="方正楷体_GBK" w:hAnsi="方正楷体_GBK" w:eastAsia="方正楷体_GBK" w:cs="方正楷体_GBK"/>
                <w:sz w:val="16"/>
                <w:szCs w:val="16"/>
                <w:lang w:val="en-US" w:eastAsia="zh-CN"/>
              </w:rPr>
              <w:t>“</w:t>
            </w:r>
            <w:r>
              <w:rPr>
                <w:rFonts w:hint="default" w:ascii="Times New Roman" w:hAnsi="Times New Roman" w:eastAsia="方正楷体_GBK" w:cs="Times New Roman"/>
                <w:sz w:val="16"/>
                <w:szCs w:val="16"/>
                <w:lang w:val="en-US" w:eastAsia="zh-CN"/>
              </w:rPr>
              <w:t>市场上80% 的洞庭碧螺春是其他产地碧螺春冒充</w:t>
            </w:r>
            <w:r>
              <w:rPr>
                <w:rFonts w:hint="eastAsia" w:ascii="方正楷体_GBK" w:hAnsi="方正楷体_GBK" w:eastAsia="方正楷体_GBK" w:cs="方正楷体_GBK"/>
                <w:sz w:val="16"/>
                <w:szCs w:val="16"/>
                <w:lang w:val="en-US" w:eastAsia="zh-CN"/>
              </w:rPr>
              <w:t>的”，在某售楼部大厅发布含有其他楼盘“厨房角落采光较差、阳台小、不实用、得房率低、采光不好，格局较差”等虚构、夸大竞争对象存在的不足或者问题的广告。</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【地方性法规】《江苏省广告条例》（2019修订）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广告不得含有下列贬低他人的商品或者服务的内容：</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（一）虚构、夸大他人的商品或者服务不足的；</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广告不得贬低其他生产经营者的商品或者服务。</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第五十九条第一款第（四）项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有下列行为之一的，由市场监督管理部门责令停止发布广告，对广告主处十万元以下的罚款：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（四）违反本法第十三条规定，广告贬低其他生产经营者的商品或者服务的。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广告不得含有虚构、夸大他人生产经营的商品或者服务存在不足的贬低内容，对相同的或者近似的一个或者一组商品或者服务进行不公正的评价。</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bl>
    <w:p>
      <w:pPr>
        <w:keepNext w:val="0"/>
        <w:keepLines w:val="0"/>
        <w:widowControl/>
        <w:suppressLineNumbers w:val="0"/>
        <w:ind w:left="0" w:leftChars="0" w:right="0" w:rightChars="0"/>
        <w:jc w:val="left"/>
        <w:textAlignment w:val="center"/>
        <w:rPr>
          <w:rFonts w:hint="default" w:ascii="方正楷体_GBK" w:hAnsi="方正楷体_GBK" w:eastAsia="方正楷体_GBK" w:cs="方正楷体_GBK"/>
          <w:sz w:val="16"/>
          <w:szCs w:val="16"/>
          <w:lang w:val="en-US" w:eastAsia="zh-CN" w:bidi="zh-CN"/>
        </w:rPr>
      </w:pPr>
    </w:p>
    <w:p>
      <w:pPr>
        <w:keepNext w:val="0"/>
        <w:keepLines w:val="0"/>
        <w:widowControl/>
        <w:suppressLineNumbers w:val="0"/>
        <w:ind w:left="0" w:leftChars="0" w:right="0" w:rightChars="0"/>
        <w:jc w:val="left"/>
        <w:textAlignment w:val="center"/>
        <w:rPr>
          <w:rFonts w:hint="default" w:ascii="方正楷体_GBK" w:hAnsi="方正楷体_GBK" w:eastAsia="方正楷体_GBK" w:cs="方正楷体_GBK"/>
          <w:sz w:val="16"/>
          <w:szCs w:val="16"/>
          <w:lang w:val="en-US" w:eastAsia="zh-CN" w:bidi="zh-CN"/>
        </w:rPr>
      </w:pPr>
    </w:p>
    <w:p>
      <w:pPr>
        <w:rPr>
          <w:rFonts w:hint="default" w:ascii="方正楷体_GBK" w:hAnsi="方正楷体_GBK" w:eastAsia="方正楷体_GBK" w:cs="方正楷体_GBK"/>
          <w:sz w:val="16"/>
          <w:szCs w:val="16"/>
          <w:lang w:val="en-US" w:eastAsia="zh-CN" w:bidi="zh-CN"/>
        </w:rPr>
      </w:pPr>
      <w:r>
        <w:rPr>
          <w:rFonts w:hint="default"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1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16</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禁止使用未授予专利权的专利申请和已经终止、撤销、无效的专利作广告</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使用未授予专利权的专利申请或已经终止、撤销、无效的专利作广告。</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第十二条第三款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禁止使用未授予专利权的专利申请和已经终止、撤销、无效的专利作广告。</w:t>
            </w:r>
          </w:p>
          <w:p>
            <w:pPr>
              <w:pStyle w:val="16"/>
              <w:bidi w:val="0"/>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第五十九条第一款第</w:t>
            </w: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有下列行为之一的，由市场监督管理部门责令停止发布广告，对广告主处十万元以下的罚款</w:t>
            </w:r>
            <w:r>
              <w:rPr>
                <w:rFonts w:hint="eastAsia" w:ascii="Times New Roman" w:hAnsi="Times New Roman" w:eastAsia="方正楷体_GBK" w:cs="Times New Roman"/>
                <w:sz w:val="16"/>
                <w:szCs w:val="16"/>
                <w:lang w:val="en-US"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（三）涉及专利的广告违反本法第十二条规定的；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top"/>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1.专利申请是指专利申请人以书面形式请求国家专利行政部门授予发明创造专利权的法律行为。专利申请并不能表明一定能取得专利权，为避免消费者误解，禁止使用未授予专利权的专利申请</w:t>
            </w:r>
            <w:r>
              <w:rPr>
                <w:rFonts w:hint="eastAsia" w:ascii="Times New Roman" w:hAnsi="Times New Roman" w:eastAsia="方正楷体_GBK" w:cs="Times New Roman"/>
                <w:sz w:val="16"/>
                <w:szCs w:val="16"/>
                <w:highlight w:val="none"/>
                <w:lang w:val="en-US" w:eastAsia="zh-CN"/>
              </w:rPr>
              <w:t>作</w:t>
            </w:r>
            <w:r>
              <w:rPr>
                <w:rFonts w:hint="default" w:ascii="Times New Roman" w:hAnsi="Times New Roman" w:eastAsia="方正楷体_GBK" w:cs="Times New Roman"/>
                <w:sz w:val="16"/>
                <w:szCs w:val="16"/>
                <w:lang w:val="en-US" w:eastAsia="zh-CN"/>
              </w:rPr>
              <w:t>广告。</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专利权终止是指专利权效力的丧失，包括期限届满终止和期限届满前终止。发明专利权的期限为二十年，实用新型专利权的期限为十年，外观设计专利权的期限为十五年，均自申请日起计算。期限届满前终止包括没有按照规定缴纳年费、专利权人以书面声明放弃其专利权两种情形。</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3.专利的无效是指自国务院专利行政部门公告授予专利权之日起，任何单位或者个人认为该专利权的授予不符合《专利法》有关规定的，可以请求国务院专利行政部门宣告该专利权无效。宣告无效的专利权视为自始即不存在</w:t>
            </w:r>
            <w:r>
              <w:rPr>
                <w:rFonts w:hint="eastAsia" w:ascii="Times New Roman" w:hAnsi="Times New Roman" w:eastAsia="方正楷体_GBK" w:cs="Times New Roman"/>
                <w:sz w:val="16"/>
                <w:szCs w:val="16"/>
                <w:lang w:val="en-US" w:eastAsia="zh-CN"/>
              </w:rPr>
              <w:t>：</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撤销专利的有关规定已并入宣告专利无效的条款。</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已经终止、撤销或无效的专利不再得到保护。</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0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17</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广告不得含有利用没有</w:t>
            </w:r>
            <w:r>
              <w:rPr>
                <w:rFonts w:hint="default" w:ascii="Times New Roman" w:hAnsi="Times New Roman" w:eastAsia="方正楷体_GBK" w:cs="Times New Roman"/>
                <w:sz w:val="16"/>
                <w:szCs w:val="16"/>
                <w:highlight w:val="none"/>
              </w:rPr>
              <w:t>法律、法规</w:t>
            </w:r>
            <w:r>
              <w:rPr>
                <w:rFonts w:hint="default" w:ascii="Times New Roman" w:hAnsi="Times New Roman" w:eastAsia="方正楷体_GBK" w:cs="Times New Roman"/>
                <w:sz w:val="16"/>
                <w:szCs w:val="16"/>
              </w:rPr>
              <w:t>依据的认定、评比、排序结果贬低他人的商品或者服务的内容</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广告含有利用没有</w:t>
            </w:r>
            <w:r>
              <w:rPr>
                <w:rFonts w:hint="default" w:ascii="Times New Roman" w:hAnsi="Times New Roman" w:eastAsia="方正楷体_GBK" w:cs="Times New Roman"/>
                <w:sz w:val="16"/>
                <w:szCs w:val="16"/>
                <w:highlight w:val="none"/>
              </w:rPr>
              <w:t>法律、法规</w:t>
            </w:r>
            <w:r>
              <w:rPr>
                <w:rFonts w:hint="default" w:ascii="Times New Roman" w:hAnsi="Times New Roman" w:eastAsia="方正楷体_GBK" w:cs="Times New Roman"/>
                <w:sz w:val="16"/>
                <w:szCs w:val="16"/>
              </w:rPr>
              <w:t>依据的认定、评比、排序结果（</w:t>
            </w:r>
            <w:r>
              <w:rPr>
                <w:rFonts w:hint="eastAsia" w:ascii="方正楷体_GBK" w:hAnsi="方正楷体_GBK" w:eastAsia="方正楷体_GBK" w:cs="方正楷体_GBK"/>
                <w:sz w:val="16"/>
                <w:szCs w:val="16"/>
              </w:rPr>
              <w:t>“排行榜”“推荐品牌”</w:t>
            </w:r>
            <w:r>
              <w:rPr>
                <w:rFonts w:hint="default" w:ascii="Times New Roman" w:hAnsi="Times New Roman" w:eastAsia="方正楷体_GBK" w:cs="Times New Roman"/>
                <w:sz w:val="16"/>
                <w:szCs w:val="16"/>
              </w:rPr>
              <w:t>等），与他人的商品或者服务作对比，借以突出自己的商品或者服务，贬低其他生产经营者的商品或者服务的内容。</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【地方性法规】《江苏省广告条例》（2019修订）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广告不得含有下列贬低他人的商品或者服务的内容：</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（二）利用没有</w:t>
            </w:r>
            <w:r>
              <w:rPr>
                <w:rFonts w:hint="default" w:ascii="Times New Roman" w:hAnsi="Times New Roman" w:eastAsia="方正楷体_GBK" w:cs="Times New Roman"/>
                <w:sz w:val="16"/>
                <w:szCs w:val="16"/>
                <w:highlight w:val="none"/>
                <w:lang w:val="en-US" w:eastAsia="zh-CN"/>
              </w:rPr>
              <w:t>法律、法规</w:t>
            </w:r>
            <w:r>
              <w:rPr>
                <w:rFonts w:hint="default" w:ascii="Times New Roman" w:hAnsi="Times New Roman" w:eastAsia="方正楷体_GBK" w:cs="Times New Roman"/>
                <w:sz w:val="16"/>
                <w:szCs w:val="16"/>
                <w:lang w:val="en-US" w:eastAsia="zh-CN"/>
              </w:rPr>
              <w:t>依据的认定、评比、排序结果，与他人的商品或者服务作对比，借以突出自己的商品或者服务的；</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广告不得贬低其他生产经营者的商品或者服务。</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第五十九条第一款第（四）项有下列行为之一的，由市场监督管理部门责令停止发布广告，对广告主处十万元以下的罚款：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（四）违反本法第十三条规定，广告贬低其他生产经营者的商品或者服务的。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不得利用没有</w:t>
            </w:r>
            <w:r>
              <w:rPr>
                <w:rFonts w:hint="default" w:ascii="Times New Roman" w:hAnsi="Times New Roman" w:eastAsia="方正楷体_GBK" w:cs="Times New Roman"/>
                <w:sz w:val="16"/>
                <w:szCs w:val="16"/>
                <w:highlight w:val="none"/>
                <w:lang w:val="en-US" w:eastAsia="zh-CN"/>
              </w:rPr>
              <w:t>法律、法规</w:t>
            </w:r>
            <w:r>
              <w:rPr>
                <w:rFonts w:hint="default" w:ascii="Times New Roman" w:hAnsi="Times New Roman" w:eastAsia="方正楷体_GBK" w:cs="Times New Roman"/>
                <w:sz w:val="16"/>
                <w:szCs w:val="16"/>
                <w:lang w:val="en-US" w:eastAsia="zh-CN"/>
              </w:rPr>
              <w:t>依据的认定、评比、排序结果，与他人的商品或者服务作对比，对相同的或者近似的一个或者一组商品或者服务进行不公正的评价，借以突出自己的商品或者服务。</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bl>
    <w:p>
      <w:pPr>
        <w:keepNext w:val="0"/>
        <w:keepLines w:val="0"/>
        <w:widowControl/>
        <w:suppressLineNumbers w:val="0"/>
        <w:ind w:left="0" w:leftChars="0" w:right="0" w:rightChars="0"/>
        <w:jc w:val="left"/>
        <w:textAlignment w:val="center"/>
        <w:rPr>
          <w:rFonts w:hint="default" w:ascii="方正楷体_GBK" w:hAnsi="方正楷体_GBK" w:eastAsia="方正楷体_GBK" w:cs="方正楷体_GBK"/>
          <w:sz w:val="16"/>
          <w:szCs w:val="16"/>
          <w:lang w:val="en-US" w:eastAsia="zh-CN" w:bidi="zh-CN"/>
        </w:rPr>
      </w:pPr>
    </w:p>
    <w:p>
      <w:pPr>
        <w:keepNext w:val="0"/>
        <w:keepLines w:val="0"/>
        <w:widowControl/>
        <w:suppressLineNumbers w:val="0"/>
        <w:ind w:left="0" w:leftChars="0" w:right="0" w:rightChars="0"/>
        <w:jc w:val="left"/>
        <w:textAlignment w:val="center"/>
        <w:rPr>
          <w:rFonts w:hint="default" w:ascii="方正楷体_GBK" w:hAnsi="方正楷体_GBK" w:eastAsia="方正楷体_GBK" w:cs="方正楷体_GBK"/>
          <w:sz w:val="16"/>
          <w:szCs w:val="16"/>
          <w:lang w:val="en-US" w:eastAsia="zh-CN" w:bidi="zh-CN"/>
        </w:rPr>
      </w:pPr>
    </w:p>
    <w:p>
      <w:pPr>
        <w:rPr>
          <w:rFonts w:hint="default" w:ascii="方正楷体_GBK" w:hAnsi="方正楷体_GBK" w:eastAsia="方正楷体_GBK" w:cs="方正楷体_GBK"/>
          <w:sz w:val="16"/>
          <w:szCs w:val="16"/>
          <w:lang w:val="en-US" w:eastAsia="zh-CN" w:bidi="zh-CN"/>
        </w:rPr>
      </w:pPr>
      <w:r>
        <w:rPr>
          <w:rFonts w:hint="default"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57" w:hRule="atLeast"/>
        </w:trPr>
        <w:tc>
          <w:tcPr>
            <w:tcW w:w="653" w:type="dxa"/>
            <w:vAlign w:val="center"/>
          </w:tcPr>
          <w:p>
            <w:pPr>
              <w:pStyle w:val="16"/>
              <w:spacing w:before="1"/>
              <w:ind w:left="104" w:leftChars="0" w:right="87" w:rightChars="0"/>
              <w:jc w:val="center"/>
              <w:rPr>
                <w:rFonts w:hint="default" w:ascii="黑体" w:eastAsia="黑体"/>
                <w:b/>
                <w:sz w:val="16"/>
                <w:szCs w:val="16"/>
                <w:lang w:val="en-US" w:eastAsia="zh-CN"/>
              </w:rPr>
            </w:pPr>
            <w:r>
              <w:rPr>
                <w:rFonts w:hint="eastAsia" w:ascii="方正楷体_GBK" w:hAnsi="方正楷体_GBK" w:eastAsia="方正楷体_GBK" w:cs="方正楷体_GBK"/>
                <w:b w:val="0"/>
                <w:bCs/>
                <w:sz w:val="16"/>
                <w:szCs w:val="16"/>
                <w:lang w:val="en-US" w:eastAsia="zh-CN"/>
              </w:rPr>
              <w:t>18</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药品、医疗、医疗器械、特殊医学用途配方食品广告不得含有表示功效、安全性的断言或者保证</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药品、医疗、医疗器械、特殊医学用途配方食品广告含有表示功效、安全性的断言或者保证。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如，在广告中违法</w:t>
            </w:r>
            <w:r>
              <w:rPr>
                <w:rFonts w:hint="eastAsia" w:ascii="方正楷体_GBK" w:hAnsi="方正楷体_GBK" w:eastAsia="方正楷体_GBK" w:cs="方正楷体_GBK"/>
                <w:sz w:val="16"/>
                <w:szCs w:val="16"/>
              </w:rPr>
              <w:t>使用“包治百病”“药到病除”“无毒无害”“灵丹妙药”“祖传秘方”“无效退款”“保险公司承保”等表示功效的断言或保证的，误导和欺骗消费者；广告中含有“安全”“安全无毒副作用”“毒副作用小”，明示或者暗示成分为“天然”，因而安全性有保</w:t>
            </w:r>
            <w:r>
              <w:rPr>
                <w:rFonts w:hint="default" w:ascii="Times New Roman" w:hAnsi="Times New Roman" w:eastAsia="方正楷体_GBK" w:cs="Times New Roman"/>
                <w:sz w:val="16"/>
                <w:szCs w:val="16"/>
              </w:rPr>
              <w:t>证等内容，误导和欺骗消费者。</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【地方性法规】《江苏省广告条例》（2019修订）</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第十四条第（一）项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药品、医疗、医疗器械、特殊医学用途配方食品广告不得含有下列内容</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（一）表示功效、安全性的断言或者保证的；</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【法律】《中华人民共和国广告法》（2021修正）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第十六条第一款第（一）项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医疗、药品、医疗器械广告不得含有下列内容：</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（一）表示功效、安全性的断言或者保证；</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第五十八条第一款第（一）项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（一）违反本法第十六条规定发布医疗、药品、医疗器械广告的；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药品、医疗、医疗器械、特殊医学用途配方食品广告不得含有表示功效、安全性的断言或者保证。</w:t>
            </w:r>
          </w:p>
          <w:p>
            <w:pPr>
              <w:pStyle w:val="16"/>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药品广告的内容应当以国务院药品监督管理部门核准的说明书为准。药品广告涉及药品名称、药品适应症或者功能主治、药理作用等内容的，不得超出说明书范围。药品广告应当显著标明禁忌、不</w:t>
            </w:r>
            <w:r>
              <w:rPr>
                <w:rFonts w:hint="eastAsia" w:ascii="方正楷体_GBK" w:hAnsi="方正楷体_GBK" w:eastAsia="方正楷体_GBK" w:cs="方正楷体_GBK"/>
                <w:sz w:val="16"/>
                <w:szCs w:val="16"/>
                <w:lang w:val="en-US" w:eastAsia="zh-CN"/>
              </w:rPr>
              <w:t>良反应，处方药广告还应当显著标明“本广告仅供医学药学专业人士阅读”</w:t>
            </w:r>
            <w:r>
              <w:rPr>
                <w:rFonts w:hint="default" w:ascii="Times New Roman" w:hAnsi="Times New Roman" w:eastAsia="方正楷体_GBK" w:cs="Times New Roman"/>
                <w:sz w:val="16"/>
                <w:szCs w:val="16"/>
                <w:lang w:val="en-US" w:eastAsia="zh-CN"/>
              </w:rPr>
              <w:t>，非处方药广告还应当显著标明非处方药标识（OTC）</w:t>
            </w:r>
            <w:r>
              <w:rPr>
                <w:rFonts w:hint="eastAsia" w:ascii="方正楷体_GBK" w:hAnsi="方正楷体_GBK" w:eastAsia="方正楷体_GBK" w:cs="方正楷体_GBK"/>
                <w:sz w:val="16"/>
                <w:szCs w:val="16"/>
                <w:lang w:val="en-US" w:eastAsia="zh-CN"/>
              </w:rPr>
              <w:t>和“请按药品说明书或者在药师指导下购买和使用”</w:t>
            </w:r>
            <w:r>
              <w:rPr>
                <w:rFonts w:hint="default" w:ascii="Times New Roman" w:hAnsi="Times New Roman" w:eastAsia="方正楷体_GBK" w:cs="Times New Roman"/>
                <w:sz w:val="16"/>
                <w:szCs w:val="16"/>
                <w:lang w:val="en-US" w:eastAsia="zh-CN"/>
              </w:rPr>
              <w:t>。</w:t>
            </w:r>
          </w:p>
          <w:p>
            <w:pPr>
              <w:pStyle w:val="16"/>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医疗器械广告的内容应当以药品监督管</w:t>
            </w:r>
            <w:r>
              <w:rPr>
                <w:rFonts w:hint="eastAsia" w:ascii="方正楷体_GBK" w:hAnsi="方正楷体_GBK" w:eastAsia="方正楷体_GBK" w:cs="方正楷体_GBK"/>
                <w:sz w:val="16"/>
                <w:szCs w:val="16"/>
                <w:lang w:val="en-US" w:eastAsia="zh-CN"/>
              </w:rPr>
              <w:t>理部门批准的注册证书或者备案凭证、注册或者备案的产品说明书内容为准。医疗器械广告涉及医疗器械名称、适用范围、作用机理或者结构及组成等内容的，不得超出注册证书或者备案凭证、注册或者备案的产品说明书范围。推荐给个人自用的医疗器械的广告，应当显著标明“请仔细阅读产品说明书或者在医务人员的指导下购买和使用”。医疗器械产品注册证书中有禁忌内容、注意事项的，广告应当显著标明“禁忌内容或者注意事项详见说明书”。</w:t>
            </w:r>
          </w:p>
          <w:p>
            <w:pPr>
              <w:pStyle w:val="16"/>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特殊医学用途配方食品广告的内容应当以国家市场监督管理总局批准的注册证书和产品标签、说明书为准。特殊医学用途配方食品广告涉及产品名称、配方、营养学特征、适用人群等内容的，不得超出注册证书、产品标签、说明书范围。特殊医学用</w:t>
            </w:r>
            <w:r>
              <w:rPr>
                <w:rFonts w:hint="eastAsia" w:ascii="方正楷体_GBK" w:hAnsi="方正楷体_GBK" w:eastAsia="方正楷体_GBK" w:cs="方正楷体_GBK"/>
                <w:sz w:val="16"/>
                <w:szCs w:val="16"/>
                <w:lang w:val="en-US" w:eastAsia="zh-CN"/>
              </w:rPr>
              <w:t>途配方食品广告应当显著标明适用人群、“不适用于非目标人群使用”“请在医生或者临床营养师指导下使用”</w:t>
            </w:r>
            <w:r>
              <w:rPr>
                <w:rFonts w:hint="default" w:ascii="Times New Roman" w:hAnsi="Times New Roman" w:eastAsia="方正楷体_GBK" w:cs="Times New Roman"/>
                <w:sz w:val="16"/>
                <w:szCs w:val="16"/>
                <w:lang w:val="en-US" w:eastAsia="zh-CN"/>
              </w:rPr>
              <w:t>。</w:t>
            </w:r>
          </w:p>
          <w:p>
            <w:pPr>
              <w:pStyle w:val="16"/>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（四）</w:t>
            </w:r>
            <w:r>
              <w:rPr>
                <w:rFonts w:hint="default" w:ascii="Times New Roman" w:hAnsi="Times New Roman" w:eastAsia="方正楷体_GBK" w:cs="Times New Roman"/>
                <w:sz w:val="16"/>
                <w:szCs w:val="16"/>
                <w:lang w:val="en-US" w:eastAsia="zh-CN"/>
              </w:rPr>
              <w:t>医疗广告，是指利用各种媒介或者形式直接或间接介绍医疗机构或医疗服务的广告。医疗机构发布医疗广告，应当在发布前申请医疗广告审查。未取得《医疗广告审查证明》，不得发布医疗广告。</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bl>
    <w:p>
      <w:pPr>
        <w:keepNext w:val="0"/>
        <w:keepLines w:val="0"/>
        <w:widowControl/>
        <w:suppressLineNumbers w:val="0"/>
        <w:ind w:left="0" w:leftChars="0" w:right="0" w:rightChars="0"/>
        <w:jc w:val="left"/>
        <w:textAlignment w:val="center"/>
        <w:rPr>
          <w:rFonts w:hint="default" w:ascii="方正楷体_GBK" w:hAnsi="方正楷体_GBK" w:eastAsia="方正楷体_GBK" w:cs="方正楷体_GBK"/>
          <w:sz w:val="16"/>
          <w:szCs w:val="16"/>
          <w:lang w:val="en-US" w:eastAsia="zh-CN" w:bidi="zh-CN"/>
        </w:rPr>
      </w:pPr>
    </w:p>
    <w:p>
      <w:pPr>
        <w:keepNext w:val="0"/>
        <w:keepLines w:val="0"/>
        <w:widowControl/>
        <w:suppressLineNumbers w:val="0"/>
        <w:ind w:left="0" w:leftChars="0" w:right="0" w:rightChars="0"/>
        <w:jc w:val="left"/>
        <w:textAlignment w:val="center"/>
        <w:rPr>
          <w:rFonts w:hint="default" w:ascii="方正楷体_GBK" w:hAnsi="方正楷体_GBK" w:eastAsia="方正楷体_GBK" w:cs="方正楷体_GBK"/>
          <w:sz w:val="16"/>
          <w:szCs w:val="16"/>
          <w:lang w:val="en-US" w:eastAsia="zh-CN" w:bidi="zh-CN"/>
        </w:rPr>
      </w:pP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19</w:t>
            </w:r>
          </w:p>
        </w:tc>
        <w:tc>
          <w:tcPr>
            <w:tcW w:w="1354"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药品、医疗、医疗器械、特殊医学用途配方食品广告不得含有宣传治愈率、有效率的内容</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药品、医疗、医疗器械、特殊医学用途配方食品广告宣传治愈率、有效率。</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如，药品、医疗、医疗器械、</w:t>
            </w:r>
            <w:r>
              <w:rPr>
                <w:rFonts w:hint="eastAsia" w:ascii="方正楷体_GBK" w:hAnsi="方正楷体_GBK" w:eastAsia="方正楷体_GBK" w:cs="方正楷体_GBK"/>
                <w:sz w:val="16"/>
                <w:szCs w:val="16"/>
              </w:rPr>
              <w:t>特殊医学用途配方食品广告宣传“一次治愈，绝不复发”“有效率达90%”等表示治愈率、有效率的</w:t>
            </w:r>
            <w:r>
              <w:rPr>
                <w:rFonts w:hint="default" w:ascii="Times New Roman" w:hAnsi="Times New Roman" w:eastAsia="方正楷体_GBK" w:cs="Times New Roman"/>
                <w:sz w:val="16"/>
                <w:szCs w:val="16"/>
              </w:rPr>
              <w:t>。</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【地方性法规】《江苏省广告条例》（2019修订）</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第十四条第（二）项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药品、医疗、医疗器械、特殊医学用途配方食品广告不得含有下列内容：（二）宣传治愈率、有效率的；</w:t>
            </w:r>
          </w:p>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第十六条第一款第（二）项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医疗、药品、医疗器械广告不得含有下列内容：（二）说明治愈率或者有效率；</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第五十八条第一款第（一）项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p>
        </w:tc>
        <w:tc>
          <w:tcPr>
            <w:tcW w:w="750"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药品、医疗、医疗器械、特殊医学用途配方食品的治愈率或者有效率通常是该商品或服务在生产检验或临床试验中取得的数据，由于患者和消费者个体差异，针对不同患者和消费者可能会收到不同的效果，故实验或临床试验中取得的治愈率、有效率不能随意推广。因此，药品、医疗、医疗器械、特殊医学用途配方食品广告不得宣传治愈率、有效率。</w:t>
            </w:r>
          </w:p>
        </w:tc>
        <w:tc>
          <w:tcPr>
            <w:tcW w:w="1117"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7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20</w:t>
            </w:r>
          </w:p>
        </w:tc>
        <w:tc>
          <w:tcPr>
            <w:tcW w:w="1354"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药品、医疗、医疗器械、特殊医学用途配方食品广告不得含有与其他药品、医疗器械的功效和安全性或者其他医疗机构比较的内容</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药品、医疗、医疗器械、特殊医学用途配方食品广告与其他药品、医疗器械的功效和安全性或者其他医疗机构比较的。</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【地方性法规】《江苏省广告条例》（2019修订）</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第十四条第（三）项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药品、医疗、医疗器械、特殊医学用途配方食品广告不得含有下列内容：（三）与其他药品、医疗器械的功效和安全性或者其他医疗机构比较的；</w:t>
            </w:r>
          </w:p>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第十六条第一款第（三）项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医疗、药品、医疗器械广告不得含有下列内容：（三）与其他药品、医疗器械的功效和安全性或者其他医疗机构比较；</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第五十八条第一款第（一）项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p>
        </w:tc>
        <w:tc>
          <w:tcPr>
            <w:tcW w:w="750"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药品、医疗器械、医疗服务一般是针对某种、某类病情，适用情况存在差异，因此，药品、医疗、医疗器械、特殊医学用途配方食品广告不得与其他药品、医疗器械的功效和安全性或者其他医疗机构进行比较。</w:t>
            </w:r>
          </w:p>
        </w:tc>
        <w:tc>
          <w:tcPr>
            <w:tcW w:w="1117"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5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21</w:t>
            </w:r>
          </w:p>
        </w:tc>
        <w:tc>
          <w:tcPr>
            <w:tcW w:w="1354"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药品、医疗、医疗器械、特殊医学用途配方食品广告不得利用广告代言人作推荐、证明</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药品、医疗、医疗器械、特殊医学用途配方食品广告利用患者、医务人员和有关专业人员，或者医药科研单位、学术机构、医疗机构以及其他广告代言人的名义、形象作推荐、证明的。</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利用医药科研单位、学术机构、医疗机构或者专家、医生等专门从事医学研究和医疗工作的单位和人员做推荐、证明，以其影响力和号召力，对患者和消费者产生误导作用；利用患者的名义和形象作证明，具有很大说服力和诱惑性，对患者和消费者产生误导作用。</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【地方性法规】《江苏省广告条例》（2019修订）</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第十四条第（四）项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药品、医疗、医疗器械、特殊医学用途配方食品广告不得含有下列内容：（四）利用患者、医务人员和有关专业人员，或者医药科研单位、学术机构、医疗机构以及其他广告代言人的名义、形象作推荐、证明的；</w:t>
            </w:r>
          </w:p>
          <w:p>
            <w:pPr>
              <w:pStyle w:val="16"/>
              <w:keepNext w:val="0"/>
              <w:keepLines w:val="0"/>
              <w:pageBreakBefore w:val="0"/>
              <w:widowControl w:val="0"/>
              <w:kinsoku/>
              <w:wordWrap/>
              <w:overflowPunct/>
              <w:topLinePunct w:val="0"/>
              <w:autoSpaceDE w:val="0"/>
              <w:autoSpaceDN w:val="0"/>
              <w:bidi w:val="0"/>
              <w:adjustRightInd/>
              <w:snapToGrid/>
              <w:spacing w:line="197"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第十六条第一款第（四）项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医疗、药品、医疗器械广告不得含有下列内容：（四）利用广告代言人作推荐、证明；</w:t>
            </w:r>
          </w:p>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第五十八条第一款第（一）项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w:t>
            </w:r>
          </w:p>
        </w:tc>
        <w:tc>
          <w:tcPr>
            <w:tcW w:w="750"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药品、医疗、医疗器械、特殊医学用途配方食品广告不得利用患者、医务人员和有关专业人员，或者医药科研单位、学术机构、医疗机构以及其他广告代言人的名义、形象作推荐、证明。</w:t>
            </w:r>
          </w:p>
        </w:tc>
        <w:tc>
          <w:tcPr>
            <w:tcW w:w="1117"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7"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bl>
    <w:p>
      <w:pPr>
        <w:keepNext w:val="0"/>
        <w:keepLines w:val="0"/>
        <w:widowControl/>
        <w:suppressLineNumbers w:val="0"/>
        <w:ind w:left="0" w:leftChars="0" w:right="0" w:rightChars="0"/>
        <w:jc w:val="left"/>
        <w:textAlignment w:val="center"/>
        <w:rPr>
          <w:rFonts w:hint="default" w:ascii="方正楷体_GBK" w:hAnsi="方正楷体_GBK" w:eastAsia="方正楷体_GBK" w:cs="方正楷体_GBK"/>
          <w:sz w:val="16"/>
          <w:szCs w:val="16"/>
          <w:lang w:val="en-US" w:eastAsia="zh-CN" w:bidi="zh-CN"/>
        </w:rPr>
      </w:pP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0" w:hRule="atLeast"/>
        </w:trPr>
        <w:tc>
          <w:tcPr>
            <w:tcW w:w="653" w:type="dxa"/>
            <w:vAlign w:val="center"/>
          </w:tcPr>
          <w:p>
            <w:pPr>
              <w:pStyle w:val="16"/>
              <w:spacing w:before="1"/>
              <w:ind w:left="104" w:leftChars="0" w:right="87" w:rightChars="0"/>
              <w:jc w:val="center"/>
              <w:rPr>
                <w:rFonts w:hint="default" w:ascii="Times New Roman" w:hAnsi="Times New Roman" w:eastAsia="方正楷体_GBK" w:cs="Times New Roman"/>
                <w:b w:val="0"/>
                <w:bCs/>
                <w:sz w:val="16"/>
                <w:szCs w:val="16"/>
                <w:lang w:val="en-US" w:eastAsia="zh-CN"/>
              </w:rPr>
            </w:pPr>
            <w:r>
              <w:rPr>
                <w:rFonts w:hint="default" w:ascii="Times New Roman" w:hAnsi="Times New Roman" w:eastAsia="方正楷体_GBK" w:cs="Times New Roman"/>
                <w:b w:val="0"/>
                <w:bCs/>
                <w:sz w:val="16"/>
                <w:szCs w:val="16"/>
                <w:lang w:val="en-US" w:eastAsia="zh-CN"/>
              </w:rPr>
              <w:t>22</w:t>
            </w:r>
          </w:p>
        </w:tc>
        <w:tc>
          <w:tcPr>
            <w:tcW w:w="1354" w:type="dxa"/>
            <w:tcMar>
              <w:top w:w="0" w:type="dxa"/>
              <w:left w:w="57" w:type="dxa"/>
              <w:bottom w:w="0" w:type="dxa"/>
              <w:right w:w="57" w:type="dxa"/>
            </w:tcMar>
            <w:vAlign w:val="center"/>
          </w:tcPr>
          <w:p>
            <w:pPr>
              <w:pStyle w:val="18"/>
              <w:spacing w:line="240" w:lineRule="auto"/>
              <w:ind w:left="0" w:leftChars="0" w:right="0" w:rightChars="0" w:firstLine="0" w:firstLineChars="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禁止在非医疗、药品、医疗器械广告中涉及疾病治疗功能和使用医疗用语</w:t>
            </w:r>
          </w:p>
        </w:tc>
        <w:tc>
          <w:tcPr>
            <w:tcW w:w="2326" w:type="dxa"/>
            <w:tcMar>
              <w:top w:w="0" w:type="dxa"/>
              <w:left w:w="57" w:type="dxa"/>
              <w:bottom w:w="0" w:type="dxa"/>
              <w:right w:w="57" w:type="dxa"/>
            </w:tcMar>
            <w:vAlign w:val="center"/>
          </w:tcPr>
          <w:p>
            <w:pPr>
              <w:pStyle w:val="18"/>
              <w:spacing w:line="240" w:lineRule="auto"/>
              <w:ind w:left="0" w:leftChars="0" w:firstLine="320" w:firstLineChars="200"/>
              <w:jc w:val="both"/>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在非药品、非医疗器械和非医疗广告中，使用与疾病或健康有关的用语来误导和欺骗消费者，且这种现象在食品广告、保健品广告、酒类广告和化妆品广告中尤为严重。</w:t>
            </w:r>
          </w:p>
          <w:p>
            <w:pPr>
              <w:pStyle w:val="18"/>
              <w:spacing w:line="240" w:lineRule="auto"/>
              <w:ind w:left="0" w:leftChars="0" w:firstLine="320" w:firstLineChars="20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如，使用“预防感冒”“消痰化瘀滞”“治疗高血压”“消炎”“改善过敏现象”等与疾病治疗或医疗用语来误导和欺骗消费者。</w:t>
            </w:r>
          </w:p>
        </w:tc>
        <w:tc>
          <w:tcPr>
            <w:tcW w:w="5526" w:type="dxa"/>
            <w:tcMar>
              <w:top w:w="57" w:type="dxa"/>
              <w:left w:w="57" w:type="dxa"/>
              <w:bottom w:w="57" w:type="dxa"/>
              <w:right w:w="57" w:type="dxa"/>
            </w:tcMar>
            <w:vAlign w:val="center"/>
          </w:tcPr>
          <w:p>
            <w:pPr>
              <w:pStyle w:val="18"/>
              <w:keepNext w:val="0"/>
              <w:keepLines w:val="0"/>
              <w:pageBreakBefore w:val="0"/>
              <w:widowControl w:val="0"/>
              <w:kinsoku/>
              <w:wordWrap/>
              <w:overflowPunct/>
              <w:topLinePunct w:val="0"/>
              <w:autoSpaceDE w:val="0"/>
              <w:autoSpaceDN w:val="0"/>
              <w:bidi w:val="0"/>
              <w:adjustRightInd/>
              <w:snapToGrid/>
              <w:spacing w:line="209" w:lineRule="auto"/>
              <w:ind w:firstLine="0"/>
              <w:jc w:val="both"/>
              <w:textAlignment w:val="auto"/>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【地方性法规】《江苏省广告条例》（</w:t>
            </w:r>
            <w:r>
              <w:rPr>
                <w:rFonts w:hint="default" w:ascii="Times New Roman" w:hAnsi="Times New Roman" w:eastAsia="方正楷体_GBK" w:cs="Times New Roman"/>
                <w:sz w:val="16"/>
                <w:szCs w:val="16"/>
              </w:rPr>
              <w:t>2019</w:t>
            </w:r>
            <w:r>
              <w:rPr>
                <w:rFonts w:hint="eastAsia" w:ascii="方正楷体_GBK" w:hAnsi="方正楷体_GBK" w:eastAsia="方正楷体_GBK" w:cs="方正楷体_GBK"/>
                <w:sz w:val="16"/>
                <w:szCs w:val="16"/>
              </w:rPr>
              <w:t>修订）</w:t>
            </w:r>
          </w:p>
          <w:p>
            <w:pPr>
              <w:pStyle w:val="18"/>
              <w:keepNext w:val="0"/>
              <w:keepLines w:val="0"/>
              <w:pageBreakBefore w:val="0"/>
              <w:widowControl w:val="0"/>
              <w:kinsoku/>
              <w:wordWrap/>
              <w:overflowPunct/>
              <w:topLinePunct w:val="0"/>
              <w:autoSpaceDE w:val="0"/>
              <w:autoSpaceDN w:val="0"/>
              <w:bidi w:val="0"/>
              <w:adjustRightInd/>
              <w:snapToGrid/>
              <w:spacing w:line="209" w:lineRule="auto"/>
              <w:ind w:firstLine="320" w:firstLineChars="200"/>
              <w:jc w:val="both"/>
              <w:textAlignment w:val="auto"/>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第十五条</w:t>
            </w:r>
            <w:r>
              <w:rPr>
                <w:rFonts w:hint="eastAsia" w:ascii="方正楷体_GBK" w:hAnsi="方正楷体_GBK" w:eastAsia="方正楷体_GBK" w:cs="方正楷体_GBK"/>
                <w:sz w:val="16"/>
                <w:szCs w:val="16"/>
                <w:lang w:val="en-US" w:eastAsia="zh-CN"/>
              </w:rPr>
              <w:t xml:space="preserve">  </w:t>
            </w:r>
            <w:r>
              <w:rPr>
                <w:rFonts w:hint="eastAsia" w:ascii="方正楷体_GBK" w:hAnsi="方正楷体_GBK" w:eastAsia="方正楷体_GBK" w:cs="方正楷体_GBK"/>
                <w:sz w:val="16"/>
                <w:szCs w:val="16"/>
              </w:rPr>
              <w:t>除医疗、药品、医疗器械广告外，食品、保健用品、消毒产品、化妆品、美容美体服务等其他任何广告不得涉及疾病治疗功能，并不得使用医疗用语或者易使推销的商品与药品、医疗器械相混淆的用语。</w:t>
            </w:r>
          </w:p>
          <w:p>
            <w:pPr>
              <w:pStyle w:val="18"/>
              <w:keepNext w:val="0"/>
              <w:keepLines w:val="0"/>
              <w:pageBreakBefore w:val="0"/>
              <w:widowControl w:val="0"/>
              <w:kinsoku/>
              <w:wordWrap/>
              <w:overflowPunct/>
              <w:topLinePunct w:val="0"/>
              <w:autoSpaceDE w:val="0"/>
              <w:autoSpaceDN w:val="0"/>
              <w:bidi w:val="0"/>
              <w:adjustRightInd/>
              <w:snapToGrid/>
              <w:spacing w:line="209" w:lineRule="auto"/>
              <w:ind w:firstLine="0"/>
              <w:jc w:val="both"/>
              <w:textAlignment w:val="auto"/>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【法律】《中华人民共和国广告法》（</w:t>
            </w:r>
            <w:r>
              <w:rPr>
                <w:rFonts w:hint="default" w:ascii="Times New Roman" w:hAnsi="Times New Roman" w:eastAsia="方正楷体_GBK" w:cs="Times New Roman"/>
                <w:sz w:val="16"/>
                <w:szCs w:val="16"/>
              </w:rPr>
              <w:t>2021</w:t>
            </w:r>
            <w:r>
              <w:rPr>
                <w:rFonts w:hint="eastAsia" w:ascii="方正楷体_GBK" w:hAnsi="方正楷体_GBK" w:eastAsia="方正楷体_GBK" w:cs="方正楷体_GBK"/>
                <w:sz w:val="16"/>
                <w:szCs w:val="16"/>
              </w:rPr>
              <w:t>修正）</w:t>
            </w:r>
          </w:p>
          <w:p>
            <w:pPr>
              <w:pStyle w:val="18"/>
              <w:keepNext w:val="0"/>
              <w:keepLines w:val="0"/>
              <w:pageBreakBefore w:val="0"/>
              <w:widowControl w:val="0"/>
              <w:kinsoku/>
              <w:wordWrap/>
              <w:overflowPunct/>
              <w:topLinePunct w:val="0"/>
              <w:autoSpaceDE w:val="0"/>
              <w:autoSpaceDN w:val="0"/>
              <w:bidi w:val="0"/>
              <w:adjustRightInd/>
              <w:snapToGrid/>
              <w:spacing w:line="209" w:lineRule="auto"/>
              <w:ind w:firstLine="320" w:firstLineChars="200"/>
              <w:jc w:val="both"/>
              <w:textAlignment w:val="auto"/>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第十七条</w:t>
            </w:r>
            <w:r>
              <w:rPr>
                <w:rFonts w:hint="eastAsia" w:ascii="方正楷体_GBK" w:hAnsi="方正楷体_GBK" w:eastAsia="方正楷体_GBK" w:cs="方正楷体_GBK"/>
                <w:sz w:val="16"/>
                <w:szCs w:val="16"/>
                <w:lang w:val="en-US" w:eastAsia="zh-CN"/>
              </w:rPr>
              <w:t xml:space="preserve">  </w:t>
            </w:r>
            <w:r>
              <w:rPr>
                <w:rFonts w:hint="eastAsia" w:ascii="方正楷体_GBK" w:hAnsi="方正楷体_GBK" w:eastAsia="方正楷体_GBK" w:cs="方正楷体_GBK"/>
                <w:sz w:val="16"/>
                <w:szCs w:val="16"/>
              </w:rPr>
              <w:t>除医疗、药品、医疗器械广告外，禁止其他任何广告涉及疾病治疗功能，并不得使用医疗用语或者易使推销的商品与药品、医疗器械相混淆的用语。</w:t>
            </w:r>
          </w:p>
          <w:p>
            <w:pPr>
              <w:pStyle w:val="18"/>
              <w:keepNext w:val="0"/>
              <w:keepLines w:val="0"/>
              <w:pageBreakBefore w:val="0"/>
              <w:widowControl w:val="0"/>
              <w:kinsoku/>
              <w:wordWrap/>
              <w:overflowPunct/>
              <w:topLinePunct w:val="0"/>
              <w:autoSpaceDE w:val="0"/>
              <w:autoSpaceDN w:val="0"/>
              <w:bidi w:val="0"/>
              <w:adjustRightInd/>
              <w:snapToGrid/>
              <w:spacing w:line="209" w:lineRule="auto"/>
              <w:ind w:firstLine="320" w:firstLineChars="200"/>
              <w:jc w:val="both"/>
              <w:textAlignment w:val="auto"/>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第五十八条第一款第（二）项</w:t>
            </w:r>
            <w:r>
              <w:rPr>
                <w:rFonts w:hint="eastAsia" w:ascii="方正楷体_GBK" w:hAnsi="方正楷体_GBK" w:eastAsia="方正楷体_GBK" w:cs="方正楷体_GBK"/>
                <w:sz w:val="16"/>
                <w:szCs w:val="16"/>
                <w:lang w:val="en-US" w:eastAsia="zh-CN"/>
              </w:rPr>
              <w:t xml:space="preserve">  </w:t>
            </w:r>
            <w:r>
              <w:rPr>
                <w:rFonts w:hint="eastAsia" w:ascii="方正楷体_GBK" w:hAnsi="方正楷体_GBK" w:eastAsia="方正楷体_GBK" w:cs="方正楷体_GBK"/>
                <w:sz w:val="16"/>
                <w:szCs w:val="16"/>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二）违反本法第十七条规定，在广告中涉及疾病治疗功能，以及使用医疗用语或者易使推销的商品与药品、医疗器械相混淆的用语的；</w:t>
            </w:r>
          </w:p>
        </w:tc>
        <w:tc>
          <w:tcPr>
            <w:tcW w:w="750" w:type="dxa"/>
            <w:tcMar>
              <w:top w:w="0" w:type="dxa"/>
              <w:left w:w="57" w:type="dxa"/>
              <w:bottom w:w="0"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8"/>
              <w:spacing w:line="240" w:lineRule="auto"/>
              <w:ind w:left="0" w:leftChars="0" w:right="0" w:rightChars="0" w:firstLine="320" w:firstLineChars="20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除医疗、药品、医疗器械广告外，禁止其他任何广告涉及疾病治疗功能，并不得使用医疗用语或者易使推销的商品与药品、医疗器械相混淆的用语。</w:t>
            </w:r>
          </w:p>
        </w:tc>
        <w:tc>
          <w:tcPr>
            <w:tcW w:w="1117" w:type="dxa"/>
            <w:tcMar>
              <w:top w:w="0" w:type="dxa"/>
              <w:left w:w="57" w:type="dxa"/>
              <w:bottom w:w="0"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color w:val="000000"/>
                <w:sz w:val="16"/>
                <w:szCs w:val="16"/>
                <w:lang w:val="zh-CN" w:eastAsia="zh-CN" w:bidi="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方正楷体_GBK" w:cs="Times New Roman"/>
                <w:b w:val="0"/>
                <w:bCs/>
                <w:sz w:val="16"/>
                <w:szCs w:val="16"/>
                <w:lang w:val="en-US" w:eastAsia="zh-CN"/>
              </w:rPr>
            </w:pPr>
            <w:r>
              <w:rPr>
                <w:rFonts w:hint="default" w:ascii="Times New Roman" w:hAnsi="Times New Roman" w:eastAsia="方正楷体_GBK" w:cs="Times New Roman"/>
                <w:b w:val="0"/>
                <w:bCs/>
                <w:sz w:val="16"/>
                <w:szCs w:val="16"/>
                <w:lang w:val="en-US" w:eastAsia="zh-CN"/>
              </w:rPr>
              <w:t>23</w:t>
            </w:r>
          </w:p>
        </w:tc>
        <w:tc>
          <w:tcPr>
            <w:tcW w:w="1354" w:type="dxa"/>
            <w:tcMar>
              <w:top w:w="0" w:type="dxa"/>
              <w:left w:w="57" w:type="dxa"/>
              <w:bottom w:w="0" w:type="dxa"/>
              <w:right w:w="57" w:type="dxa"/>
            </w:tcMar>
            <w:vAlign w:val="center"/>
          </w:tcPr>
          <w:p>
            <w:pPr>
              <w:pStyle w:val="18"/>
              <w:spacing w:line="240" w:lineRule="auto"/>
              <w:ind w:left="0" w:leftChars="0" w:right="0" w:rightChars="0" w:firstLine="0" w:firstLineChars="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招商等有投资回报预期的商品或者服务广告不得含有禁止性内容</w:t>
            </w:r>
          </w:p>
        </w:tc>
        <w:tc>
          <w:tcPr>
            <w:tcW w:w="2326" w:type="dxa"/>
            <w:tcMar>
              <w:top w:w="0" w:type="dxa"/>
              <w:left w:w="57" w:type="dxa"/>
              <w:bottom w:w="0" w:type="dxa"/>
              <w:right w:w="57" w:type="dxa"/>
            </w:tcMar>
            <w:vAlign w:val="center"/>
          </w:tcPr>
          <w:p>
            <w:pPr>
              <w:pStyle w:val="18"/>
              <w:spacing w:line="240" w:lineRule="auto"/>
              <w:ind w:left="0" w:leftChars="0" w:firstLine="320" w:firstLineChars="200"/>
              <w:jc w:val="both"/>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广告中存在对未来效果、收益作出保证性承诺，明示或者暗示保本、无风险等内容的情况，且多发于保险、期货、</w:t>
            </w:r>
            <w:r>
              <w:rPr>
                <w:rFonts w:hint="eastAsia" w:ascii="方正楷体_GBK" w:hAnsi="方正楷体_GBK" w:eastAsia="方正楷体_GBK" w:cs="方正楷体_GBK"/>
                <w:sz w:val="16"/>
                <w:szCs w:val="16"/>
                <w:highlight w:val="none"/>
                <w:lang w:eastAsia="zh-CN"/>
              </w:rPr>
              <w:t>债券</w:t>
            </w:r>
            <w:r>
              <w:rPr>
                <w:rFonts w:hint="eastAsia" w:ascii="方正楷体_GBK" w:hAnsi="方正楷体_GBK" w:eastAsia="方正楷体_GBK" w:cs="方正楷体_GBK"/>
                <w:sz w:val="16"/>
                <w:szCs w:val="16"/>
              </w:rPr>
              <w:t>等商品或服务领域。</w:t>
            </w:r>
          </w:p>
          <w:p>
            <w:pPr>
              <w:pStyle w:val="18"/>
              <w:spacing w:line="240" w:lineRule="auto"/>
              <w:ind w:left="0" w:leftChars="0" w:firstLine="320" w:firstLineChars="20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如，“投资回报率</w:t>
            </w:r>
            <w:r>
              <w:rPr>
                <w:rFonts w:hint="default" w:ascii="Times New Roman" w:hAnsi="Times New Roman" w:eastAsia="方正楷体_GBK" w:cs="Times New Roman"/>
                <w:sz w:val="16"/>
                <w:szCs w:val="16"/>
              </w:rPr>
              <w:t>70</w:t>
            </w:r>
            <w:r>
              <w:rPr>
                <w:rFonts w:hint="eastAsia" w:ascii="方正楷体_GBK" w:hAnsi="方正楷体_GBK" w:eastAsia="方正楷体_GBK" w:cs="方正楷体_GBK"/>
                <w:sz w:val="16"/>
                <w:szCs w:val="16"/>
              </w:rPr>
              <w:t>%，稳赚不赔”“零风险”“保本不亏”等虚假宣传和承诺。</w:t>
            </w:r>
          </w:p>
        </w:tc>
        <w:tc>
          <w:tcPr>
            <w:tcW w:w="5526" w:type="dxa"/>
            <w:tcMar>
              <w:top w:w="57" w:type="dxa"/>
              <w:left w:w="57" w:type="dxa"/>
              <w:bottom w:w="57" w:type="dxa"/>
              <w:right w:w="57" w:type="dxa"/>
            </w:tcMar>
            <w:vAlign w:val="center"/>
          </w:tcPr>
          <w:p>
            <w:pPr>
              <w:pStyle w:val="18"/>
              <w:keepNext w:val="0"/>
              <w:keepLines w:val="0"/>
              <w:pageBreakBefore w:val="0"/>
              <w:widowControl w:val="0"/>
              <w:kinsoku/>
              <w:wordWrap/>
              <w:overflowPunct/>
              <w:topLinePunct w:val="0"/>
              <w:autoSpaceDE w:val="0"/>
              <w:autoSpaceDN w:val="0"/>
              <w:bidi w:val="0"/>
              <w:adjustRightInd/>
              <w:snapToGrid/>
              <w:spacing w:line="209" w:lineRule="auto"/>
              <w:ind w:firstLine="0"/>
              <w:jc w:val="both"/>
              <w:textAlignment w:val="auto"/>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【法律】《中华人民共和国广告法》（</w:t>
            </w:r>
            <w:r>
              <w:rPr>
                <w:rFonts w:hint="default" w:ascii="Times New Roman" w:hAnsi="Times New Roman" w:eastAsia="方正楷体_GBK" w:cs="Times New Roman"/>
                <w:sz w:val="16"/>
                <w:szCs w:val="16"/>
              </w:rPr>
              <w:t>2021</w:t>
            </w:r>
            <w:r>
              <w:rPr>
                <w:rFonts w:hint="eastAsia" w:ascii="方正楷体_GBK" w:hAnsi="方正楷体_GBK" w:eastAsia="方正楷体_GBK" w:cs="方正楷体_GBK"/>
                <w:sz w:val="16"/>
                <w:szCs w:val="16"/>
              </w:rPr>
              <w:t>修正）</w:t>
            </w:r>
          </w:p>
          <w:p>
            <w:pPr>
              <w:pStyle w:val="18"/>
              <w:keepNext w:val="0"/>
              <w:keepLines w:val="0"/>
              <w:pageBreakBefore w:val="0"/>
              <w:widowControl w:val="0"/>
              <w:kinsoku/>
              <w:wordWrap/>
              <w:overflowPunct/>
              <w:topLinePunct w:val="0"/>
              <w:autoSpaceDE w:val="0"/>
              <w:autoSpaceDN w:val="0"/>
              <w:bidi w:val="0"/>
              <w:adjustRightInd/>
              <w:snapToGrid/>
              <w:spacing w:line="209" w:lineRule="auto"/>
              <w:ind w:firstLine="320" w:firstLineChars="200"/>
              <w:jc w:val="both"/>
              <w:textAlignment w:val="auto"/>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第二十五条第（一）项</w:t>
            </w:r>
            <w:r>
              <w:rPr>
                <w:rFonts w:hint="eastAsia" w:ascii="方正楷体_GBK" w:hAnsi="方正楷体_GBK" w:eastAsia="方正楷体_GBK" w:cs="方正楷体_GBK"/>
                <w:sz w:val="16"/>
                <w:szCs w:val="16"/>
                <w:lang w:val="en-US" w:eastAsia="zh-CN"/>
              </w:rPr>
              <w:t xml:space="preserve">  </w:t>
            </w:r>
            <w:r>
              <w:rPr>
                <w:rFonts w:hint="eastAsia" w:ascii="方正楷体_GBK" w:hAnsi="方正楷体_GBK" w:eastAsia="方正楷体_GBK" w:cs="方正楷体_GBK"/>
                <w:sz w:val="16"/>
                <w:szCs w:val="16"/>
              </w:rPr>
              <w:t>招商等有投资回报预期的商品或者服务广告，应当对可能存在的风险以及风险责任承担有合理提示或者警示，并不得含有下列内容</w:t>
            </w:r>
            <w:r>
              <w:rPr>
                <w:rFonts w:hint="eastAsia" w:ascii="方正楷体_GBK" w:hAnsi="方正楷体_GBK" w:eastAsia="方正楷体_GBK" w:cs="方正楷体_GBK"/>
                <w:sz w:val="16"/>
                <w:szCs w:val="16"/>
                <w:lang w:eastAsia="zh-CN"/>
              </w:rPr>
              <w:t>：</w:t>
            </w:r>
            <w:r>
              <w:rPr>
                <w:rFonts w:hint="eastAsia" w:ascii="方正楷体_GBK" w:hAnsi="方正楷体_GBK" w:eastAsia="方正楷体_GBK" w:cs="方正楷体_GBK"/>
                <w:sz w:val="16"/>
                <w:szCs w:val="16"/>
              </w:rPr>
              <w:t>（一）对未来效果、收益或者与其相关的情况作出保证性承诺，明示或者暗示保本、无风险或者保收益等，国家另有规定的除外；</w:t>
            </w:r>
          </w:p>
          <w:p>
            <w:pPr>
              <w:pStyle w:val="18"/>
              <w:keepNext w:val="0"/>
              <w:keepLines w:val="0"/>
              <w:pageBreakBefore w:val="0"/>
              <w:widowControl w:val="0"/>
              <w:kinsoku/>
              <w:wordWrap/>
              <w:overflowPunct/>
              <w:topLinePunct w:val="0"/>
              <w:autoSpaceDE w:val="0"/>
              <w:autoSpaceDN w:val="0"/>
              <w:bidi w:val="0"/>
              <w:adjustRightInd/>
              <w:snapToGrid/>
              <w:spacing w:line="209" w:lineRule="auto"/>
              <w:ind w:left="0" w:leftChars="0" w:right="0" w:rightChars="0" w:firstLine="420" w:firstLineChars="0"/>
              <w:jc w:val="both"/>
              <w:textAlignment w:val="auto"/>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第五十八条第一款第（七）项</w:t>
            </w:r>
            <w:r>
              <w:rPr>
                <w:rFonts w:hint="eastAsia" w:ascii="方正楷体_GBK" w:hAnsi="方正楷体_GBK" w:eastAsia="方正楷体_GBK" w:cs="方正楷体_GBK"/>
                <w:sz w:val="16"/>
                <w:szCs w:val="16"/>
                <w:lang w:val="en-US" w:eastAsia="zh-CN"/>
              </w:rPr>
              <w:t xml:space="preserve">  </w:t>
            </w:r>
            <w:r>
              <w:rPr>
                <w:rFonts w:hint="eastAsia" w:ascii="方正楷体_GBK" w:hAnsi="方正楷体_GBK" w:eastAsia="方正楷体_GBK" w:cs="方正楷体_GBK"/>
                <w:sz w:val="16"/>
                <w:szCs w:val="16"/>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七）违反本法第二十五条规定发布招商等有投资回报预期的商品或者服务广告的；</w:t>
            </w:r>
          </w:p>
        </w:tc>
        <w:tc>
          <w:tcPr>
            <w:tcW w:w="750" w:type="dxa"/>
            <w:tcMar>
              <w:top w:w="0" w:type="dxa"/>
              <w:left w:w="57" w:type="dxa"/>
              <w:bottom w:w="0"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8"/>
              <w:spacing w:line="240" w:lineRule="auto"/>
              <w:ind w:left="0" w:leftChars="0" w:right="0" w:rightChars="0" w:firstLine="320" w:firstLineChars="20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招商等有投资回报预期的商品或者服务广告，应当对可能存在的风险以及风险责任承担有合理提示或者警示，并不得含有对未来效果、收益或者与其相关的情况作出保证性承诺，明示或者暗示保本、无风险或者保收益等，国家另有规定的除外。</w:t>
            </w:r>
          </w:p>
        </w:tc>
        <w:tc>
          <w:tcPr>
            <w:tcW w:w="1117" w:type="dxa"/>
            <w:tcMar>
              <w:top w:w="0" w:type="dxa"/>
              <w:left w:w="57" w:type="dxa"/>
              <w:bottom w:w="0"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color w:val="000000"/>
                <w:sz w:val="16"/>
                <w:szCs w:val="16"/>
                <w:lang w:val="zh-CN" w:eastAsia="zh-CN" w:bidi="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77" w:hRule="atLeast"/>
        </w:trPr>
        <w:tc>
          <w:tcPr>
            <w:tcW w:w="653" w:type="dxa"/>
            <w:vAlign w:val="center"/>
          </w:tcPr>
          <w:p>
            <w:pPr>
              <w:pStyle w:val="16"/>
              <w:spacing w:before="1"/>
              <w:ind w:left="104" w:leftChars="0" w:right="87" w:rightChars="0"/>
              <w:jc w:val="center"/>
              <w:rPr>
                <w:rFonts w:hint="default" w:ascii="Times New Roman" w:hAnsi="Times New Roman" w:eastAsia="方正楷体_GBK" w:cs="Times New Roman"/>
                <w:b w:val="0"/>
                <w:bCs/>
                <w:sz w:val="16"/>
                <w:szCs w:val="16"/>
                <w:lang w:val="en-US" w:eastAsia="zh-CN"/>
              </w:rPr>
            </w:pPr>
            <w:r>
              <w:rPr>
                <w:rFonts w:hint="default" w:ascii="Times New Roman" w:hAnsi="Times New Roman" w:eastAsia="方正楷体_GBK" w:cs="Times New Roman"/>
                <w:b w:val="0"/>
                <w:bCs/>
                <w:sz w:val="16"/>
                <w:szCs w:val="16"/>
                <w:lang w:val="en-US" w:eastAsia="zh-CN"/>
              </w:rPr>
              <w:t>24</w:t>
            </w:r>
          </w:p>
        </w:tc>
        <w:tc>
          <w:tcPr>
            <w:tcW w:w="1354" w:type="dxa"/>
            <w:tcMar>
              <w:top w:w="0" w:type="dxa"/>
              <w:left w:w="57" w:type="dxa"/>
              <w:bottom w:w="0" w:type="dxa"/>
              <w:right w:w="57" w:type="dxa"/>
            </w:tcMar>
            <w:vAlign w:val="center"/>
          </w:tcPr>
          <w:p>
            <w:pPr>
              <w:pStyle w:val="18"/>
              <w:spacing w:line="240" w:lineRule="auto"/>
              <w:ind w:left="0" w:leftChars="0" w:right="0" w:rightChars="0" w:firstLine="0" w:firstLineChars="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房地产广告，房源信息应当真实，面积应当表明为建筑面积或者套内建筑面积</w:t>
            </w:r>
          </w:p>
        </w:tc>
        <w:tc>
          <w:tcPr>
            <w:tcW w:w="2326" w:type="dxa"/>
            <w:tcMar>
              <w:top w:w="0" w:type="dxa"/>
              <w:left w:w="57" w:type="dxa"/>
              <w:bottom w:w="0" w:type="dxa"/>
              <w:right w:w="57" w:type="dxa"/>
            </w:tcMar>
            <w:vAlign w:val="center"/>
          </w:tcPr>
          <w:p>
            <w:pPr>
              <w:pStyle w:val="18"/>
              <w:spacing w:line="240" w:lineRule="auto"/>
              <w:ind w:left="0" w:leftChars="0" w:firstLine="320" w:firstLineChars="200"/>
              <w:jc w:val="both"/>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房地产广告房源信息不真实，面积未表明为建筑面积或者套内建筑面积。</w:t>
            </w:r>
          </w:p>
          <w:p>
            <w:pPr>
              <w:pStyle w:val="18"/>
              <w:spacing w:line="240" w:lineRule="auto"/>
              <w:ind w:left="0" w:leftChars="0" w:firstLine="320" w:firstLineChars="20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如，某楼盘微信公众号以及宣传单中使用“</w:t>
            </w:r>
            <w:r>
              <w:rPr>
                <w:rFonts w:hint="default" w:ascii="Times New Roman" w:hAnsi="Times New Roman" w:eastAsia="方正楷体_GBK" w:cs="Times New Roman"/>
                <w:sz w:val="16"/>
                <w:szCs w:val="16"/>
              </w:rPr>
              <w:t>约</w:t>
            </w:r>
            <w:r>
              <w:rPr>
                <w:rFonts w:hint="default" w:ascii="Times New Roman" w:hAnsi="Times New Roman" w:eastAsia="方正楷体_GBK" w:cs="Times New Roman"/>
                <w:sz w:val="16"/>
                <w:szCs w:val="16"/>
                <w:lang w:val="en-US" w:bidi="en-US"/>
              </w:rPr>
              <w:t>93-108</w:t>
            </w:r>
            <w:r>
              <w:rPr>
                <w:rFonts w:hint="eastAsia" w:ascii="方正楷体_GBK" w:hAnsi="方正楷体_GBK" w:eastAsia="方正楷体_GBK" w:cs="方正楷体_GBK"/>
                <w:sz w:val="16"/>
                <w:szCs w:val="16"/>
                <w:lang w:val="en-US" w:bidi="en-US"/>
              </w:rPr>
              <w:t>m</w:t>
            </w:r>
            <w:r>
              <w:rPr>
                <w:rFonts w:hint="default" w:ascii="Times New Roman" w:hAnsi="Times New Roman" w:eastAsia="方正楷体_GBK" w:cs="Times New Roman"/>
                <w:sz w:val="16"/>
                <w:szCs w:val="16"/>
                <w:lang w:val="en-US" w:bidi="en-US"/>
              </w:rPr>
              <w:t>2</w:t>
            </w:r>
            <w:r>
              <w:rPr>
                <w:rFonts w:hint="eastAsia" w:ascii="方正楷体_GBK" w:hAnsi="方正楷体_GBK" w:eastAsia="方正楷体_GBK" w:cs="方正楷体_GBK"/>
                <w:sz w:val="16"/>
                <w:szCs w:val="16"/>
              </w:rPr>
              <w:t>三房两卫”“首期</w:t>
            </w:r>
            <w:r>
              <w:rPr>
                <w:rFonts w:hint="default" w:ascii="Times New Roman" w:hAnsi="Times New Roman" w:eastAsia="方正楷体_GBK" w:cs="Times New Roman"/>
                <w:sz w:val="16"/>
                <w:szCs w:val="16"/>
                <w:lang w:val="en-US" w:bidi="en-US"/>
              </w:rPr>
              <w:t>93-108m2</w:t>
            </w:r>
            <w:r>
              <w:rPr>
                <w:rFonts w:hint="eastAsia" w:ascii="方正楷体_GBK" w:hAnsi="方正楷体_GBK" w:eastAsia="方正楷体_GBK" w:cs="方正楷体_GBK"/>
                <w:sz w:val="16"/>
                <w:szCs w:val="16"/>
              </w:rPr>
              <w:t>瞰景高层”“约</w:t>
            </w:r>
            <w:r>
              <w:rPr>
                <w:rFonts w:hint="default" w:ascii="Times New Roman" w:hAnsi="Times New Roman" w:eastAsia="方正楷体_GBK" w:cs="Times New Roman"/>
                <w:sz w:val="16"/>
                <w:szCs w:val="16"/>
                <w:lang w:val="en-US" w:bidi="en-US"/>
              </w:rPr>
              <w:t>93-108m2</w:t>
            </w:r>
            <w:r>
              <w:rPr>
                <w:rFonts w:hint="default" w:ascii="Times New Roman" w:hAnsi="Times New Roman" w:eastAsia="方正楷体_GBK" w:cs="Times New Roman"/>
                <w:sz w:val="16"/>
                <w:szCs w:val="16"/>
              </w:rPr>
              <w:t>瞰</w:t>
            </w:r>
            <w:r>
              <w:rPr>
                <w:rFonts w:hint="eastAsia" w:ascii="方正楷体_GBK" w:hAnsi="方正楷体_GBK" w:eastAsia="方正楷体_GBK" w:cs="方正楷体_GBK"/>
                <w:sz w:val="16"/>
                <w:szCs w:val="16"/>
              </w:rPr>
              <w:t>景三房”等宣传用语未标明房屋面积是建筑面积还是套内面积。</w:t>
            </w:r>
          </w:p>
        </w:tc>
        <w:tc>
          <w:tcPr>
            <w:tcW w:w="5526" w:type="dxa"/>
            <w:tcMar>
              <w:top w:w="57" w:type="dxa"/>
              <w:left w:w="57" w:type="dxa"/>
              <w:bottom w:w="57" w:type="dxa"/>
              <w:right w:w="57" w:type="dxa"/>
            </w:tcMar>
            <w:vAlign w:val="center"/>
          </w:tcPr>
          <w:p>
            <w:pPr>
              <w:pStyle w:val="18"/>
              <w:keepNext w:val="0"/>
              <w:keepLines w:val="0"/>
              <w:pageBreakBefore w:val="0"/>
              <w:widowControl w:val="0"/>
              <w:kinsoku/>
              <w:wordWrap/>
              <w:overflowPunct/>
              <w:topLinePunct w:val="0"/>
              <w:autoSpaceDE w:val="0"/>
              <w:autoSpaceDN w:val="0"/>
              <w:bidi w:val="0"/>
              <w:adjustRightInd/>
              <w:snapToGrid/>
              <w:spacing w:line="209" w:lineRule="auto"/>
              <w:ind w:firstLine="0"/>
              <w:jc w:val="both"/>
              <w:textAlignment w:val="auto"/>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【法律】《中华人民共和国广告法》</w:t>
            </w:r>
            <w:r>
              <w:rPr>
                <w:rFonts w:hint="default" w:ascii="Times New Roman" w:hAnsi="Times New Roman" w:eastAsia="方正楷体_GBK" w:cs="Times New Roman"/>
                <w:sz w:val="16"/>
                <w:szCs w:val="16"/>
              </w:rPr>
              <w:t>（2021</w:t>
            </w:r>
            <w:r>
              <w:rPr>
                <w:rFonts w:hint="eastAsia" w:ascii="方正楷体_GBK" w:hAnsi="方正楷体_GBK" w:eastAsia="方正楷体_GBK" w:cs="方正楷体_GBK"/>
                <w:sz w:val="16"/>
                <w:szCs w:val="16"/>
              </w:rPr>
              <w:t>修正）</w:t>
            </w:r>
          </w:p>
          <w:p>
            <w:pPr>
              <w:pStyle w:val="18"/>
              <w:keepNext w:val="0"/>
              <w:keepLines w:val="0"/>
              <w:pageBreakBefore w:val="0"/>
              <w:widowControl w:val="0"/>
              <w:kinsoku/>
              <w:wordWrap/>
              <w:overflowPunct/>
              <w:topLinePunct w:val="0"/>
              <w:autoSpaceDE w:val="0"/>
              <w:autoSpaceDN w:val="0"/>
              <w:bidi w:val="0"/>
              <w:adjustRightInd/>
              <w:snapToGrid/>
              <w:spacing w:line="209" w:lineRule="auto"/>
              <w:ind w:firstLine="320" w:firstLineChars="200"/>
              <w:jc w:val="both"/>
              <w:textAlignment w:val="auto"/>
              <w:rPr>
                <w:rFonts w:hint="eastAsia" w:ascii="方正楷体_GBK" w:hAnsi="方正楷体_GBK" w:eastAsia="方正楷体_GBK" w:cs="方正楷体_GBK"/>
                <w:sz w:val="16"/>
                <w:szCs w:val="16"/>
              </w:rPr>
            </w:pPr>
            <w:r>
              <w:rPr>
                <w:rFonts w:hint="eastAsia" w:ascii="方正楷体_GBK" w:hAnsi="方正楷体_GBK" w:eastAsia="方正楷体_GBK" w:cs="方正楷体_GBK"/>
                <w:sz w:val="16"/>
                <w:szCs w:val="16"/>
              </w:rPr>
              <w:t>第二十六条</w:t>
            </w:r>
            <w:r>
              <w:rPr>
                <w:rFonts w:hint="eastAsia" w:ascii="方正楷体_GBK" w:hAnsi="方正楷体_GBK" w:eastAsia="方正楷体_GBK" w:cs="方正楷体_GBK"/>
                <w:sz w:val="16"/>
                <w:szCs w:val="16"/>
                <w:lang w:val="en-US" w:eastAsia="zh-CN"/>
              </w:rPr>
              <w:t xml:space="preserve">  </w:t>
            </w:r>
            <w:r>
              <w:rPr>
                <w:rFonts w:hint="eastAsia" w:ascii="方正楷体_GBK" w:hAnsi="方正楷体_GBK" w:eastAsia="方正楷体_GBK" w:cs="方正楷体_GBK"/>
                <w:sz w:val="16"/>
                <w:szCs w:val="16"/>
              </w:rPr>
              <w:t>房地产广告，房源信息应当真实，面积应当表明为建筑面积或者套内建筑面积，并不得含有下列内容：（一）升值或者投资回报的承诺；（二）以项目到达某一具体参照物的所需时间表示项目位置；（三）违反国家有关价格管理的规定；（四）对规划或者建设中的交通、商业、文化教育设施以及其他市政条件作误导宣传。</w:t>
            </w:r>
          </w:p>
          <w:p>
            <w:pPr>
              <w:pStyle w:val="18"/>
              <w:keepNext w:val="0"/>
              <w:keepLines w:val="0"/>
              <w:pageBreakBefore w:val="0"/>
              <w:widowControl w:val="0"/>
              <w:kinsoku/>
              <w:wordWrap/>
              <w:overflowPunct/>
              <w:topLinePunct w:val="0"/>
              <w:autoSpaceDE w:val="0"/>
              <w:autoSpaceDN w:val="0"/>
              <w:bidi w:val="0"/>
              <w:adjustRightInd/>
              <w:snapToGrid/>
              <w:spacing w:line="209" w:lineRule="auto"/>
              <w:ind w:firstLine="320" w:firstLineChars="200"/>
              <w:jc w:val="both"/>
              <w:textAlignment w:val="auto"/>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第五十八条第一款第（八）项</w:t>
            </w:r>
            <w:r>
              <w:rPr>
                <w:rFonts w:hint="eastAsia" w:ascii="方正楷体_GBK" w:hAnsi="方正楷体_GBK" w:eastAsia="方正楷体_GBK" w:cs="方正楷体_GBK"/>
                <w:sz w:val="16"/>
                <w:szCs w:val="16"/>
                <w:lang w:val="en-US" w:eastAsia="zh-CN"/>
              </w:rPr>
              <w:t xml:space="preserve">  </w:t>
            </w:r>
            <w:r>
              <w:rPr>
                <w:rFonts w:hint="eastAsia" w:ascii="方正楷体_GBK" w:hAnsi="方正楷体_GBK" w:eastAsia="方正楷体_GBK" w:cs="方正楷体_GBK"/>
                <w:sz w:val="16"/>
                <w:szCs w:val="16"/>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八）违反本法第二十六条规定发布房地产广告的；</w:t>
            </w:r>
          </w:p>
        </w:tc>
        <w:tc>
          <w:tcPr>
            <w:tcW w:w="750" w:type="dxa"/>
            <w:tcMar>
              <w:top w:w="0" w:type="dxa"/>
              <w:left w:w="57" w:type="dxa"/>
              <w:bottom w:w="0"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8"/>
              <w:spacing w:line="240" w:lineRule="auto"/>
              <w:ind w:left="0" w:leftChars="0" w:right="0" w:rightChars="0" w:firstLine="320" w:firstLineChars="200"/>
              <w:jc w:val="both"/>
              <w:rPr>
                <w:rFonts w:hint="eastAsia" w:ascii="方正楷体_GBK" w:hAnsi="方正楷体_GBK" w:eastAsia="方正楷体_GBK" w:cs="方正楷体_GBK"/>
                <w:sz w:val="16"/>
                <w:szCs w:val="16"/>
                <w:lang w:val="zh-CN" w:eastAsia="zh-CN" w:bidi="zh-CN"/>
              </w:rPr>
            </w:pPr>
            <w:r>
              <w:rPr>
                <w:rFonts w:hint="eastAsia" w:ascii="方正楷体_GBK" w:hAnsi="方正楷体_GBK" w:eastAsia="方正楷体_GBK" w:cs="方正楷体_GBK"/>
                <w:sz w:val="16"/>
                <w:szCs w:val="16"/>
              </w:rPr>
              <w:t>房地产开发企业、房地产权利人、房地产中介服务机构发布的房地产项目预售、预租、出售、出租、项目转让以及其他房地产项目介绍的广告，房源信息应当真实，面积应当表明为建筑面积或者套内建筑面积。</w:t>
            </w:r>
          </w:p>
        </w:tc>
        <w:tc>
          <w:tcPr>
            <w:tcW w:w="1117" w:type="dxa"/>
            <w:tcMar>
              <w:top w:w="0" w:type="dxa"/>
              <w:left w:w="57" w:type="dxa"/>
              <w:bottom w:w="0"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color w:val="000000"/>
                <w:sz w:val="16"/>
                <w:szCs w:val="16"/>
                <w:lang w:val="zh-CN" w:eastAsia="zh-CN" w:bidi="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bl>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93" w:hRule="atLeast"/>
        </w:trPr>
        <w:tc>
          <w:tcPr>
            <w:tcW w:w="653" w:type="dxa"/>
            <w:vAlign w:val="center"/>
          </w:tcPr>
          <w:p>
            <w:pPr>
              <w:pStyle w:val="16"/>
              <w:keepNext w:val="0"/>
              <w:keepLines w:val="0"/>
              <w:pageBreakBefore w:val="0"/>
              <w:kinsoku/>
              <w:wordWrap/>
              <w:overflowPunct/>
              <w:topLinePunct w:val="0"/>
              <w:autoSpaceDE w:val="0"/>
              <w:autoSpaceDN w:val="0"/>
              <w:bidi w:val="0"/>
              <w:adjustRightInd/>
              <w:snapToGrid/>
              <w:spacing w:before="1" w:line="204" w:lineRule="auto"/>
              <w:ind w:left="104" w:leftChars="0" w:right="87" w:rightChars="0"/>
              <w:jc w:val="center"/>
              <w:rPr>
                <w:rFonts w:hint="default" w:ascii="Times New Roman" w:hAnsi="Times New Roman" w:eastAsia="方正楷体_GBK" w:cs="Times New Roman"/>
                <w:b w:val="0"/>
                <w:bCs/>
                <w:sz w:val="16"/>
                <w:szCs w:val="16"/>
                <w:lang w:val="en-US" w:eastAsia="zh-CN"/>
              </w:rPr>
            </w:pPr>
            <w:r>
              <w:rPr>
                <w:rFonts w:hint="default" w:ascii="Times New Roman" w:hAnsi="Times New Roman" w:eastAsia="方正楷体_GBK" w:cs="Times New Roman"/>
                <w:b w:val="0"/>
                <w:bCs/>
                <w:sz w:val="16"/>
                <w:szCs w:val="16"/>
                <w:lang w:val="en-US" w:eastAsia="zh-CN"/>
              </w:rPr>
              <w:t>25</w:t>
            </w:r>
          </w:p>
        </w:tc>
        <w:tc>
          <w:tcPr>
            <w:tcW w:w="1354"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房地产广告不得含有升值或者投资回报的承诺</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房地产广告含有对房屋的投资回报率、租金回报率、房产年升值率等进行没有根据或保障的夸大型宣传。</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如，含</w:t>
            </w:r>
            <w:r>
              <w:rPr>
                <w:rFonts w:hint="eastAsia" w:ascii="方正楷体_GBK" w:hAnsi="方正楷体_GBK" w:eastAsia="方正楷体_GBK" w:cs="方正楷体_GBK"/>
                <w:sz w:val="16"/>
                <w:szCs w:val="16"/>
              </w:rPr>
              <w:t>有“升值空间30% 以上”等对楼盘升值承诺的内容</w:t>
            </w:r>
            <w:r>
              <w:rPr>
                <w:rFonts w:hint="default" w:ascii="Times New Roman" w:hAnsi="Times New Roman" w:eastAsia="方正楷体_GBK" w:cs="Times New Roman"/>
                <w:sz w:val="16"/>
                <w:szCs w:val="16"/>
              </w:rPr>
              <w:t>。</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第二十六条第（一）项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房地产广告，房源信息应当真实，面积应当表明为建筑面积或者套内建筑面积，并不得含有下列内容：（一）升值或者投资回报的承诺；</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第五十八条第一款第（八）项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有下列行为之一的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由市场监督管理部门责令停止发布广告</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责令广告主在相应范围内消除影响，处广告费用一倍以上三倍以下的罚款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广告费用无法计算或者明显偏低的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处十万元以上二十万元以下的罚款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情节严重的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（八）违反本法第二十六条规定发布房地产广告的</w:t>
            </w:r>
            <w:r>
              <w:rPr>
                <w:rFonts w:hint="eastAsia" w:ascii="Times New Roman" w:hAnsi="Times New Roman" w:eastAsia="方正楷体_GBK" w:cs="Times New Roman"/>
                <w:sz w:val="16"/>
                <w:szCs w:val="16"/>
                <w:lang w:eastAsia="zh-CN"/>
              </w:rPr>
              <w:t>；</w:t>
            </w:r>
          </w:p>
        </w:tc>
        <w:tc>
          <w:tcPr>
            <w:tcW w:w="750"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房地产开发企业、房地产权利人、房地产中介服务机构发布的房地产项目预售、预租、出售、出租、项目转让以及其他房地产项目介绍的广告，不得含有升值或者投资回报的承诺。</w:t>
            </w:r>
          </w:p>
        </w:tc>
        <w:tc>
          <w:tcPr>
            <w:tcW w:w="1117"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57" w:hRule="atLeast"/>
        </w:trPr>
        <w:tc>
          <w:tcPr>
            <w:tcW w:w="653" w:type="dxa"/>
            <w:vAlign w:val="center"/>
          </w:tcPr>
          <w:p>
            <w:pPr>
              <w:pStyle w:val="16"/>
              <w:keepNext w:val="0"/>
              <w:keepLines w:val="0"/>
              <w:pageBreakBefore w:val="0"/>
              <w:kinsoku/>
              <w:wordWrap/>
              <w:overflowPunct/>
              <w:topLinePunct w:val="0"/>
              <w:autoSpaceDE w:val="0"/>
              <w:autoSpaceDN w:val="0"/>
              <w:bidi w:val="0"/>
              <w:adjustRightInd/>
              <w:snapToGrid/>
              <w:spacing w:before="1" w:line="204" w:lineRule="auto"/>
              <w:ind w:left="104" w:leftChars="0" w:right="87" w:rightChars="0"/>
              <w:jc w:val="center"/>
              <w:rPr>
                <w:rFonts w:hint="default" w:ascii="Times New Roman" w:hAnsi="Times New Roman" w:eastAsia="方正楷体_GBK" w:cs="Times New Roman"/>
                <w:b w:val="0"/>
                <w:bCs/>
                <w:sz w:val="16"/>
                <w:szCs w:val="16"/>
                <w:lang w:val="en-US" w:eastAsia="zh-CN"/>
              </w:rPr>
            </w:pPr>
            <w:r>
              <w:rPr>
                <w:rFonts w:hint="default" w:ascii="Times New Roman" w:hAnsi="Times New Roman" w:eastAsia="方正楷体_GBK" w:cs="Times New Roman"/>
                <w:b w:val="0"/>
                <w:bCs/>
                <w:sz w:val="16"/>
                <w:szCs w:val="16"/>
                <w:lang w:val="en-US" w:eastAsia="zh-CN"/>
              </w:rPr>
              <w:t>26</w:t>
            </w:r>
          </w:p>
        </w:tc>
        <w:tc>
          <w:tcPr>
            <w:tcW w:w="1354"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房地产广告应准确、清楚明示房地产开发建设项目位置</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房地产广告未准确、清楚明示房地产开发建设项目位置，以项目到达某一具体参照物的所需时间表示项目位置。</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方正楷体_GBK" w:hAnsi="方正楷体_GBK" w:eastAsia="方正楷体_GBK" w:cs="方正楷体_GBK"/>
                <w:sz w:val="16"/>
                <w:szCs w:val="16"/>
              </w:rPr>
              <w:t>以“</w:t>
            </w:r>
            <w:r>
              <w:rPr>
                <w:rFonts w:hint="default" w:ascii="Times New Roman" w:hAnsi="Times New Roman" w:eastAsia="方正楷体_GBK" w:cs="Times New Roman"/>
                <w:sz w:val="16"/>
                <w:szCs w:val="16"/>
              </w:rPr>
              <w:t>5</w:t>
            </w:r>
            <w:r>
              <w:rPr>
                <w:rFonts w:hint="eastAsia" w:ascii="方正楷体_GBK" w:hAnsi="方正楷体_GBK" w:eastAsia="方正楷体_GBK" w:cs="方正楷体_GBK"/>
                <w:sz w:val="16"/>
                <w:szCs w:val="16"/>
              </w:rPr>
              <w:t>分钟可达大润发，步行街，高铁站，黄泗浦生态园等生活配套”“万达商圈</w:t>
            </w:r>
            <w:r>
              <w:rPr>
                <w:rFonts w:hint="default" w:ascii="Times New Roman" w:hAnsi="Times New Roman" w:eastAsia="方正楷体_GBK" w:cs="Times New Roman"/>
                <w:sz w:val="16"/>
                <w:szCs w:val="16"/>
              </w:rPr>
              <w:t>15分钟车程范围内</w:t>
            </w:r>
            <w:r>
              <w:rPr>
                <w:rFonts w:hint="eastAsia" w:ascii="方正楷体_GBK" w:hAnsi="方正楷体_GBK" w:eastAsia="方正楷体_GBK" w:cs="方正楷体_GBK"/>
                <w:sz w:val="16"/>
                <w:szCs w:val="16"/>
              </w:rPr>
              <w:t>”“</w:t>
            </w:r>
            <w:r>
              <w:rPr>
                <w:rFonts w:hint="default" w:ascii="Times New Roman" w:hAnsi="Times New Roman" w:eastAsia="方正楷体_GBK" w:cs="Times New Roman"/>
                <w:sz w:val="16"/>
                <w:szCs w:val="16"/>
              </w:rPr>
              <w:t>距市中心10分钟车</w:t>
            </w:r>
            <w:r>
              <w:rPr>
                <w:rFonts w:hint="eastAsia" w:ascii="方正楷体_GBK" w:hAnsi="方正楷体_GBK" w:eastAsia="方正楷体_GBK" w:cs="方正楷体_GBK"/>
                <w:sz w:val="16"/>
                <w:szCs w:val="16"/>
              </w:rPr>
              <w:t>程”等项目到达某一具体参照物的所需时间</w:t>
            </w:r>
            <w:r>
              <w:rPr>
                <w:rFonts w:hint="default" w:ascii="Times New Roman" w:hAnsi="Times New Roman" w:eastAsia="方正楷体_GBK" w:cs="Times New Roman"/>
                <w:sz w:val="16"/>
                <w:szCs w:val="16"/>
              </w:rPr>
              <w:t>来表示距离的。</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【地方性法规】《江苏省广告条例》</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2019修订）</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第十八条第（一）项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房地产广告应当符合下列规定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（一）明示房地产开发建设项目位置的，应当准确、清楚，不得以项目到达某一具体参照物的所需时间来表示距离</w:t>
            </w:r>
            <w:r>
              <w:rPr>
                <w:rFonts w:hint="eastAsia" w:ascii="Times New Roman" w:hAnsi="Times New Roman" w:eastAsia="方正楷体_GBK" w:cs="Times New Roman"/>
                <w:sz w:val="16"/>
                <w:szCs w:val="16"/>
                <w:lang w:eastAsia="zh-CN"/>
              </w:rPr>
              <w:t>；</w:t>
            </w:r>
          </w:p>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第二十六条第（二）项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房地产广告，房源信息应当真实，面积应当表明为建筑面积或者套内建筑面积，并不得含有下列内容</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（二）以项目到达某一具体参照物的所需时间表示项目位置</w:t>
            </w:r>
            <w:r>
              <w:rPr>
                <w:rFonts w:hint="eastAsia" w:ascii="Times New Roman" w:hAnsi="Times New Roman" w:eastAsia="方正楷体_GBK" w:cs="Times New Roman"/>
                <w:sz w:val="16"/>
                <w:szCs w:val="16"/>
                <w:lang w:eastAsia="zh-CN"/>
              </w:rPr>
              <w:t>；</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第五十八条第一款第（八）项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（八）违反本法第二十六条规定发布房地产广告的</w:t>
            </w:r>
            <w:r>
              <w:rPr>
                <w:rFonts w:hint="eastAsia" w:ascii="Times New Roman" w:hAnsi="Times New Roman" w:eastAsia="方正楷体_GBK" w:cs="Times New Roman"/>
                <w:sz w:val="16"/>
                <w:szCs w:val="16"/>
                <w:lang w:eastAsia="zh-CN"/>
              </w:rPr>
              <w:t>；</w:t>
            </w:r>
          </w:p>
        </w:tc>
        <w:tc>
          <w:tcPr>
            <w:tcW w:w="750"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房地产开发企业、房地产权利人、房地产中介服务机构发布的房地产项目预售</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预租</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出售</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出租</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项目转让以及其他房地产项目介绍的广告</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应准确</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清楚明示房地产开发建设项目位置</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不得以项目到达某一具体参照物的所需时间来表示距离</w:t>
            </w:r>
            <w:r>
              <w:rPr>
                <w:rFonts w:hint="eastAsia" w:ascii="Times New Roman" w:hAnsi="Times New Roman" w:eastAsia="方正楷体_GBK" w:cs="Times New Roman"/>
                <w:sz w:val="16"/>
                <w:szCs w:val="16"/>
                <w:lang w:eastAsia="zh-CN"/>
              </w:rPr>
              <w:t>。</w:t>
            </w:r>
          </w:p>
        </w:tc>
        <w:tc>
          <w:tcPr>
            <w:tcW w:w="1117"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keepNext w:val="0"/>
              <w:keepLines w:val="0"/>
              <w:pageBreakBefore w:val="0"/>
              <w:kinsoku/>
              <w:wordWrap/>
              <w:overflowPunct/>
              <w:topLinePunct w:val="0"/>
              <w:autoSpaceDE w:val="0"/>
              <w:autoSpaceDN w:val="0"/>
              <w:bidi w:val="0"/>
              <w:adjustRightInd/>
              <w:snapToGrid/>
              <w:spacing w:before="1" w:line="204" w:lineRule="auto"/>
              <w:ind w:left="104" w:leftChars="0" w:right="87" w:rightChars="0"/>
              <w:jc w:val="center"/>
              <w:rPr>
                <w:rFonts w:hint="default" w:ascii="Times New Roman" w:hAnsi="Times New Roman" w:eastAsia="方正楷体_GBK" w:cs="Times New Roman"/>
                <w:b w:val="0"/>
                <w:bCs/>
                <w:sz w:val="16"/>
                <w:szCs w:val="16"/>
                <w:lang w:val="en-US" w:eastAsia="zh-CN"/>
              </w:rPr>
            </w:pPr>
            <w:r>
              <w:rPr>
                <w:rFonts w:hint="default" w:ascii="Times New Roman" w:hAnsi="Times New Roman" w:eastAsia="方正楷体_GBK" w:cs="Times New Roman"/>
                <w:b w:val="0"/>
                <w:bCs/>
                <w:sz w:val="16"/>
                <w:szCs w:val="16"/>
                <w:lang w:val="en-US" w:eastAsia="zh-CN"/>
              </w:rPr>
              <w:t>27</w:t>
            </w:r>
          </w:p>
        </w:tc>
        <w:tc>
          <w:tcPr>
            <w:tcW w:w="1354"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房地产广告不得对规划或者建设中的交通、商业、文化教育设施以及其他市政条件作误导宣传</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房地产广告对规划或者建设中的交通、商业、文化教育设施以及其他市政条件作误导宣传。</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房地产广告展板宣传：沪崇高速（规划中）、轨道交通沪崇线（规划中）、北沿江高铁（规划）中等内容，而实际仅处于前期研究阶段，尚未形成具体的空间布局规划方案。</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【地方性法规】《江苏省广告条例》（2019修订）</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第十八条第（二）项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房地产广告应当符合下列规定：（二）涉及的交通、商业、文化、教育、医疗、体育以及电力</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环境卫生等公共设施尚处于规划中的，应当注明；</w:t>
            </w:r>
          </w:p>
          <w:p>
            <w:pPr>
              <w:pStyle w:val="16"/>
              <w:keepNext w:val="0"/>
              <w:keepLines w:val="0"/>
              <w:pageBreakBefore w:val="0"/>
              <w:widowControl w:val="0"/>
              <w:kinsoku/>
              <w:wordWrap/>
              <w:overflowPunct/>
              <w:topLinePunct w:val="0"/>
              <w:autoSpaceDE w:val="0"/>
              <w:autoSpaceDN w:val="0"/>
              <w:bidi w:val="0"/>
              <w:adjustRightInd/>
              <w:snapToGrid/>
              <w:spacing w:line="216"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【法律】《中华人民共和国广告法》（2021修正）</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第二十六条第（四）项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房地产广告，房源信息应当真实，面积应当表明为建筑面积或者套内建筑面积，并不得含有下列内容：（四）对规划或者建设中的交通、商业、文化教育设施以及其他市政条件作误导宣传。</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第五十八条第一款第（八）项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八）违反本法第二十六条规定发布房地产广告的；</w:t>
            </w:r>
          </w:p>
        </w:tc>
        <w:tc>
          <w:tcPr>
            <w:tcW w:w="750"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房地产开发企业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房地产权利人</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房地产中介服务机构发布的房地产项目预售</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预租</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出售</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出租</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项目转让以及其他房地产项目介绍的广告</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不得含有对规划或者建设中的交通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商业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文化教育设施以及其他市政条件作误导宣传</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涉及的交通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商业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文化</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教育</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医疗</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体育以及电力</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环境卫生等公共设施尚处于规划中的，应当注明</w:t>
            </w:r>
            <w:r>
              <w:rPr>
                <w:rFonts w:hint="eastAsia" w:ascii="Times New Roman" w:hAnsi="Times New Roman" w:eastAsia="方正楷体_GBK" w:cs="Times New Roman"/>
                <w:sz w:val="16"/>
                <w:szCs w:val="16"/>
                <w:lang w:eastAsia="zh-CN"/>
              </w:rPr>
              <w:t>。</w:t>
            </w:r>
          </w:p>
        </w:tc>
        <w:tc>
          <w:tcPr>
            <w:tcW w:w="1117"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市场科</w:t>
            </w:r>
            <w:r>
              <w:rPr>
                <w:rFonts w:hint="default" w:ascii="Times New Roman" w:hAnsi="Times New Roman" w:eastAsia="方正楷体_GBK" w:cs="Times New Roman"/>
                <w:sz w:val="16"/>
                <w:szCs w:val="16"/>
                <w:lang w:val="en-US" w:eastAsia="zh-CN"/>
              </w:rPr>
              <w:t>81170012</w:t>
            </w:r>
          </w:p>
        </w:tc>
      </w:tr>
    </w:tbl>
    <w:p>
      <w:pPr>
        <w:keepNext w:val="0"/>
        <w:keepLines w:val="0"/>
        <w:pageBreakBefore w:val="0"/>
        <w:widowControl/>
        <w:suppressLineNumbers w:val="0"/>
        <w:kinsoku/>
        <w:wordWrap/>
        <w:overflowPunct/>
        <w:topLinePunct w:val="0"/>
        <w:autoSpaceDE w:val="0"/>
        <w:autoSpaceDN w:val="0"/>
        <w:bidi w:val="0"/>
        <w:adjustRightInd/>
        <w:snapToGrid/>
        <w:spacing w:line="204" w:lineRule="auto"/>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pStyle w:val="16"/>
        <w:spacing w:before="4"/>
        <w:rPr>
          <w:rFonts w:ascii="楷体"/>
          <w:sz w:val="14"/>
        </w:rPr>
      </w:pPr>
      <w:r>
        <w:rPr>
          <w:rFonts w:ascii="楷体"/>
          <w:sz w:val="14"/>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6"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28</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经营者不得擅自使用与他人有一定影响的商品名称、包装、装潢等相同或者近似的标识</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经营者实施擅自使用与他人有一定影响的商品名称、包装、装潢等相同或者近似的标识的，引人误认为是他人商品或者与他人存在特定联系。包括使用与他人标识完全相同的标识、近似的标识，包括商品标识、服务标识，包括明确列举的商品名称、包装、装潢及未明确列举的他人商标、商品形状等。</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方正楷体_GBK" w:hAnsi="方正楷体_GBK" w:eastAsia="方正楷体_GBK" w:cs="方正楷体_GBK"/>
                <w:sz w:val="16"/>
                <w:szCs w:val="16"/>
              </w:rPr>
              <w:t>，“雷碧”“六禾核桃”“太白兔”等“山寨”“傍名牌”“搭便车”的混淆行为</w:t>
            </w:r>
            <w:r>
              <w:rPr>
                <w:rFonts w:hint="default" w:ascii="Times New Roman" w:hAnsi="Times New Roman" w:eastAsia="方正楷体_GBK" w:cs="Times New Roman"/>
                <w:sz w:val="16"/>
                <w:szCs w:val="16"/>
              </w:rPr>
              <w:t>。</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【法律】《中华人民共和国反不正当竞争法》（2019修正）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第六条第（一）项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经营者不得实施下列混淆行为，引人误认为是他人商品或者与他人存在特定联系：</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（一）擅自使用与他人有一定影响的商品名称、包装、装潢等相同或者近似的标识；</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第十八条第一款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违反本法第六条规定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吊销营业执照。</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经营者不得实施擅自使用与他人有一定影响的商品名称、包装、装潢等相同或者近似的标识的混淆行为，引人误认为是他人商品或者与他人存在特定联系。</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rPr>
              <w:t>执法稽查科</w:t>
            </w:r>
            <w:r>
              <w:rPr>
                <w:rFonts w:hint="default" w:ascii="Times New Roman" w:hAnsi="Times New Roman" w:eastAsia="方正楷体_GBK" w:cs="Times New Roman"/>
                <w:sz w:val="16"/>
                <w:szCs w:val="16"/>
                <w:lang w:val="en-US" w:eastAsia="zh-CN"/>
              </w:rPr>
              <w:t>81170052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2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29</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经营者不得擅自使用他人有一定影响的企业名称（包括简称、字号等）、社会组织名称（包括简称等）、姓名（包括笔名、艺名、译名等）</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经营者实施擅自使用他人有一定影响的企业名称（包括简称、字号等）、社会组织名称（包括简称等）、姓名（包括笔名、艺名、译名等）的混淆行为，引人误认为是他人商品或者与他人存在特定联系。</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【法律】《中华人民共和国反不正当竞争法》（2019修正）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第六条第（二）项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经营者不得实施下列混淆行为，引人误认为是他人商品或者与他人存在特定联系：</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（二）擅自使用他人有一定影响的企业名称（包括简称、字号等）、社会组织名称（包括简称等）、姓名（包括笔名、艺名、译名等）；</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第十八条第一款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违反本法第六条规定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吊销营业执照。</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第十八条第二款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经营者登记的企业名称违反本法第六条规定的，应当及时办理名称变更登记；名称变更前，由原企业登记机关以统一社会信用代码代替其名称。</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经营者不得实施擅自使用他人有一定影响的企业名称（包括简称、字号等）、社会组织名称（包括简称等）、姓名（包括笔名、艺名、译名等）的混淆行为，引人误认为是他人商品或者与他人存在特定联系。</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执法稽查科</w:t>
            </w:r>
            <w:r>
              <w:rPr>
                <w:rFonts w:hint="default" w:ascii="Times New Roman" w:hAnsi="Times New Roman" w:eastAsia="方正楷体_GBK" w:cs="Times New Roman"/>
                <w:sz w:val="16"/>
                <w:szCs w:val="16"/>
                <w:lang w:val="en-US" w:eastAsia="zh-CN"/>
              </w:rPr>
              <w:t>81170052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3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30</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经营者不得擅自使用他人有一定影响的域名主体部分</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网站名称、网页等</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经营者实施擅自使用他人有一定影响的域名主体部分</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网站名称、网页等的混淆行为，引人误认为是他人商品或者与他人存在特定联系。</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在权利人已是知名企业的情况下，未经许可，擅自注册与权利人域名主体部分相同的域名，且在该网站上使用了权利人网站的文章、案例等文字内容，并通过电商平台对外销售商品，引人误认为是权利人的商品，或者与权利人存在特定联系，误导公众。</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【法律】《中华人民共和国反不正当竞争法》（2019修正）</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第六条第（三）项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经营者不得实施下列混淆行为，引人误认为是他人商品或者与他人存在特定联系</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（三）擅自使用他人有一定影响的域名主体部分、网站名称、网页等</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第十八条第一款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违反本法第六条规定实施混淆行为的，由监督检查部门责令停止违法行为，没收违法商品。违法经营额五万元以上的，可以并处违法经营额五倍以下的罚款；没有违法经营额或者违法经营额不足五万元的，可以并处二十五万元以下的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情节严重的，吊销营业执照。</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经营者不得实施擅自使用他人有一定影响的域名主体部分、网站名称、网页等的混淆行为，包括公益网站，引人误认为是他人商品或者与他人存在特定联系。</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执法稽查科</w:t>
            </w:r>
            <w:r>
              <w:rPr>
                <w:rFonts w:hint="default" w:ascii="Times New Roman" w:hAnsi="Times New Roman" w:eastAsia="方正楷体_GBK" w:cs="Times New Roman"/>
                <w:sz w:val="16"/>
                <w:szCs w:val="16"/>
                <w:lang w:val="en-US" w:eastAsia="zh-CN"/>
              </w:rPr>
              <w:t>81170052</w:t>
            </w:r>
          </w:p>
        </w:tc>
      </w:tr>
    </w:tbl>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56"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经营者不得作虚假或者引人误解的商业宣传</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经营者对其商品的性能、功能、质量、销售状况、用户评价、曾获荣誉等作虚假或者引人误解的商业宣传，具体表现为：</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一</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内容虚假，与实际情况不符；</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二</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使用含糊不清、有多重语义的表述；</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三</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仅陈述部分事实，让人引发错误联系。</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如，将提供服务的普通工人宣传为国家高级技师，刷单炒信、虚假评价、假排队，宣传商品含有珍贵物质但实际含量极低不足以产生所宣称益处等。</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【法律】《中华人民共和国反不正当竞争法》（2019修正）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经营者不得对其商品的性能、功能、质量、销售状况、用户评价、曾获荣誉等作虚假或者引人误解的商业宣传，欺骗、误导消费者。</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第二十条第一款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违反本法第八条规定对其商品作虚假或者引人误解的商业宣传，或者通过组织虚假交易等方式帮助其他经营者进行虚假或者引人误解的商业宣传的，由监督检查部门责令停止违法行为，处二十万元以上一百万元以下的罚款；情节严重的，处一百万元以上二百万元以下的罚款，可以吊销营业执照。</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经营者不得通过在经营场所内对商品进行演示、说明，上门推销，召开宣传会、推介会等形式，对其商品的性能、功能、质量、销售状况、用户评价、曾获荣誉等进行虚假或者引人误解的商业宣传，欺骗、误导消费者。</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商品或服务的相关信息包括关于商品或服务的自然属性的信息（如商品的性能、功能、产地、用途、质量、成分、有效期限等，服务的标准、质量、时间、地点等），商品的生产者、经营者、服务提供者的信息（如资质、资产规模、曾获荣誉，与知名企业、知名人士的关系等），商品的市场信息（如价格、销售状况、用户评价等）。</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执法稽查科</w:t>
            </w:r>
            <w:r>
              <w:rPr>
                <w:rFonts w:hint="default" w:ascii="Times New Roman" w:hAnsi="Times New Roman" w:eastAsia="方正楷体_GBK" w:cs="Times New Roman"/>
                <w:sz w:val="16"/>
                <w:szCs w:val="16"/>
                <w:lang w:val="en-US" w:eastAsia="zh-CN"/>
              </w:rPr>
              <w:t>81170052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经营者不得帮助其他经营者进行虚假或者引人误解的商业宣传</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经营者不得通过组织虚假交易等方式，如组织刷单炒信等，帮助其他经营者进行虚假或者引人误解的商业宣传。</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【法律】《中华人民共和国反不正当竞争法》（2019修正）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经营者不得通过组织虚假交易等方式，帮助其他经营者进行虚假或者引人误解的商业宣传。</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第二十条第一款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违反本法第八条规定对其商品作虚假或者引人误解的商业宣传，或者通过组织虚假交易等方式帮助其他经营者进行虚假或者引人误解的商业宣传的，由监督检查部门责令停止违法行为，处二十万元以上一百万元以下的罚款；情节严重的，处一百万元以上二百万元以下的罚款，可以吊销营业执照。</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经营者不得通过组织虚假交易等方式，帮助其他经营者进行虚假或者引人误解的商业宣传。</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执法稽查科</w:t>
            </w:r>
            <w:r>
              <w:rPr>
                <w:rFonts w:hint="default" w:ascii="Times New Roman" w:hAnsi="Times New Roman" w:eastAsia="方正楷体_GBK" w:cs="Times New Roman"/>
                <w:sz w:val="16"/>
                <w:szCs w:val="16"/>
                <w:lang w:val="en-US" w:eastAsia="zh-CN"/>
              </w:rPr>
              <w:t>81170052</w:t>
            </w:r>
          </w:p>
        </w:tc>
      </w:tr>
    </w:tbl>
    <w:p>
      <w:pPr>
        <w:pStyle w:val="16"/>
        <w:bidi w:val="0"/>
        <w:jc w:val="center"/>
        <w:rPr>
          <w:rFonts w:hint="eastAsia" w:ascii="黑体" w:hAnsi="黑体" w:eastAsia="黑体" w:cs="黑体"/>
          <w:b/>
          <w:bCs/>
        </w:rPr>
      </w:pPr>
      <w:r>
        <w:rPr>
          <w:rFonts w:hint="eastAsia" w:ascii="黑体" w:hAnsi="黑体" w:eastAsia="黑体" w:cs="黑体"/>
          <w:b/>
          <w:bCs/>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6" w:hRule="atLeast"/>
        </w:trPr>
        <w:tc>
          <w:tcPr>
            <w:tcW w:w="653" w:type="dxa"/>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序号</w:t>
            </w:r>
          </w:p>
        </w:tc>
        <w:tc>
          <w:tcPr>
            <w:tcW w:w="1354" w:type="dxa"/>
            <w:tcMar>
              <w:top w:w="0" w:type="dxa"/>
              <w:left w:w="57" w:type="dxa"/>
              <w:bottom w:w="0"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合规事项</w:t>
            </w:r>
          </w:p>
        </w:tc>
        <w:tc>
          <w:tcPr>
            <w:tcW w:w="2326" w:type="dxa"/>
            <w:tcMar>
              <w:top w:w="0" w:type="dxa"/>
              <w:left w:w="57" w:type="dxa"/>
              <w:bottom w:w="0"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常见违法行为表现</w:t>
            </w:r>
          </w:p>
        </w:tc>
        <w:tc>
          <w:tcPr>
            <w:tcW w:w="5526" w:type="dxa"/>
            <w:tcMar>
              <w:top w:w="0" w:type="dxa"/>
              <w:left w:w="57" w:type="dxa"/>
              <w:bottom w:w="0"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tcMar>
              <w:top w:w="0" w:type="dxa"/>
              <w:left w:w="57" w:type="dxa"/>
              <w:bottom w:w="0" w:type="dxa"/>
              <w:right w:w="57" w:type="dxa"/>
            </w:tcMar>
            <w:vAlign w:val="center"/>
          </w:tcPr>
          <w:p>
            <w:pPr>
              <w:pStyle w:val="16"/>
              <w:bidi w:val="0"/>
              <w:jc w:val="center"/>
              <w:rPr>
                <w:rFonts w:hint="eastAsia" w:ascii="黑体" w:hAnsi="黑体" w:eastAsia="黑体" w:cs="黑体"/>
                <w:b/>
                <w:bCs/>
              </w:rPr>
            </w:pPr>
            <w:r>
              <w:rPr>
                <w:rFonts w:hint="eastAsia" w:ascii="黑体" w:hAnsi="黑体" w:eastAsia="黑体" w:cs="黑体"/>
                <w:b/>
                <w:bCs/>
              </w:rPr>
              <w:t>风险</w:t>
            </w:r>
          </w:p>
          <w:p>
            <w:pPr>
              <w:pStyle w:val="16"/>
              <w:bidi w:val="0"/>
              <w:jc w:val="center"/>
              <w:rPr>
                <w:rFonts w:hint="eastAsia" w:ascii="黑体" w:hAnsi="黑体" w:eastAsia="黑体" w:cs="黑体"/>
                <w:b/>
                <w:bCs/>
                <w:lang w:val="en-US" w:eastAsia="zh-CN"/>
              </w:rPr>
            </w:pPr>
            <w:r>
              <w:rPr>
                <w:rFonts w:hint="eastAsia" w:ascii="黑体" w:hAnsi="黑体" w:eastAsia="黑体" w:cs="黑体"/>
                <w:b/>
                <w:bCs/>
              </w:rPr>
              <w:t>等级</w:t>
            </w:r>
          </w:p>
        </w:tc>
        <w:tc>
          <w:tcPr>
            <w:tcW w:w="2631" w:type="dxa"/>
            <w:tcMar>
              <w:top w:w="0" w:type="dxa"/>
              <w:left w:w="57" w:type="dxa"/>
              <w:bottom w:w="0"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合规建议</w:t>
            </w:r>
          </w:p>
        </w:tc>
        <w:tc>
          <w:tcPr>
            <w:tcW w:w="1117" w:type="dxa"/>
            <w:tcMar>
              <w:top w:w="0" w:type="dxa"/>
              <w:left w:w="57" w:type="dxa"/>
              <w:bottom w:w="0" w:type="dxa"/>
              <w:right w:w="57" w:type="dxa"/>
            </w:tcMar>
            <w:vAlign w:val="center"/>
          </w:tcPr>
          <w:p>
            <w:pPr>
              <w:pStyle w:val="16"/>
              <w:bidi w:val="0"/>
              <w:jc w:val="center"/>
              <w:rPr>
                <w:rFonts w:hint="eastAsia" w:ascii="黑体" w:hAnsi="黑体" w:eastAsia="黑体" w:cs="黑体"/>
                <w:b/>
                <w:bCs/>
              </w:rPr>
            </w:pPr>
            <w:r>
              <w:rPr>
                <w:rFonts w:hint="eastAsia" w:ascii="黑体" w:hAnsi="黑体" w:eastAsia="黑体" w:cs="黑体"/>
                <w:b/>
                <w:bCs/>
              </w:rPr>
              <w:t>指导部门</w:t>
            </w:r>
          </w:p>
          <w:p>
            <w:pPr>
              <w:pStyle w:val="16"/>
              <w:bidi w:val="0"/>
              <w:jc w:val="center"/>
              <w:rPr>
                <w:rFonts w:hint="eastAsia" w:ascii="黑体" w:hAnsi="黑体" w:eastAsia="黑体" w:cs="黑体"/>
                <w:b/>
                <w:bCs/>
                <w:lang w:val="en-US" w:eastAsia="zh-CN"/>
              </w:rPr>
            </w:pPr>
            <w:r>
              <w:rPr>
                <w:rFonts w:hint="eastAsia" w:ascii="黑体" w:hAnsi="黑体" w:eastAsia="黑体" w:cs="黑体"/>
                <w:b/>
                <w:bCs/>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经营者不得编造、传播虚假信息或者误导性信息，损害竞争对手的商业信誉、商品声誉</w:t>
            </w:r>
          </w:p>
        </w:tc>
        <w:tc>
          <w:tcPr>
            <w:tcW w:w="23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经营者编造</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传播虚假信息或者事实虽然真实，但仅陈述部分事实，容易引发错误联想的误导性信息，对竞争对手的商业信誉、商品声誉进行恶意的诋毁</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贬低</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以削弱其市场竞争能力</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并为自己谋取不正当利益</w:t>
            </w:r>
            <w:r>
              <w:rPr>
                <w:rFonts w:hint="eastAsia" w:ascii="Times New Roman" w:hAnsi="Times New Roman" w:eastAsia="方正楷体_GBK" w:cs="Times New Roman"/>
                <w:sz w:val="16"/>
                <w:szCs w:val="16"/>
                <w:lang w:eastAsia="zh-CN"/>
              </w:rPr>
              <w:t>。</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如，无中生有地宣称竞争对手商品存在质量问题</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服务人员不具备相应资质</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宣称竞争对手提供产品含有有毒有害物质，呼吁消费者不要购买</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但实际含量极少对人体健康没有危害。</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【法律】《中华人民共和国反不正当竞争法》（2019修正）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经营者不得编造、传播虚假信息或者误导性信息，损害竞争对手的商业信誉、商品声誉。</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第二十三条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经营者违反本法第十一条规定损害竞争对手商业信誉、商品声誉的，由监督检查部门责令停止违法行为、消除影响，处十万元以上五十万元以下的罚款；情节严重的，处五十万元以上三百万元以下的罚款。</w:t>
            </w:r>
          </w:p>
        </w:tc>
        <w:tc>
          <w:tcPr>
            <w:tcW w:w="750" w:type="dxa"/>
            <w:tcMar>
              <w:top w:w="57" w:type="dxa"/>
              <w:left w:w="57" w:type="dxa"/>
              <w:bottom w:w="57" w:type="dxa"/>
              <w:right w:w="57" w:type="dxa"/>
            </w:tcMar>
            <w:vAlign w:val="center"/>
          </w:tcPr>
          <w:p>
            <w:pPr>
              <w:pStyle w:val="16"/>
              <w:tabs>
                <w:tab w:val="left" w:pos="514"/>
              </w:tabs>
              <w:bidi w:val="0"/>
              <w:spacing w:line="240" w:lineRule="auto"/>
              <w:jc w:val="center"/>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经营者不得编造、传播虚假信息或者误导性信息，损害竞争对手的商业信誉、商品声誉</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一</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经营者包括从事商品生产、经营或者提供服务的自然人、法人、非法人组织</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二</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竞争对手为生产、销售、提供相同或相似</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具备相似功能、可以相互替代的商品或服务经营者</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或者存在争夺消费者注意力</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购买力等商业利益冲突的。</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rPr>
              <w:t>执法稽查科</w:t>
            </w:r>
            <w:r>
              <w:rPr>
                <w:rFonts w:hint="default" w:ascii="Times New Roman" w:hAnsi="Times New Roman" w:eastAsia="方正楷体_GBK" w:cs="Times New Roman"/>
                <w:sz w:val="16"/>
                <w:szCs w:val="16"/>
                <w:lang w:val="en-US" w:eastAsia="zh-CN"/>
              </w:rPr>
              <w:t>81170052</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bookmarkStart w:id="9" w:name="bookmark12"/>
      <w: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default" w:ascii="楷体" w:eastAsia="楷体"/>
          <w:sz w:val="28"/>
          <w:szCs w:val="28"/>
          <w:lang w:val="en-US" w:eastAsia="zh-CN"/>
        </w:rPr>
      </w:pPr>
      <w:r>
        <w:rPr>
          <w:rFonts w:hint="default" w:ascii="楷体" w:eastAsia="楷体"/>
          <w:sz w:val="28"/>
          <w:szCs w:val="28"/>
          <w:lang w:val="en-US" w:eastAsia="zh-CN"/>
        </w:rPr>
        <w:t>适用于含特种设备单位：</w:t>
      </w:r>
      <w:bookmarkEnd w:id="9"/>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2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从事特种设备生产活动应当依法取得相应许可</w:t>
            </w:r>
          </w:p>
        </w:tc>
        <w:tc>
          <w:tcPr>
            <w:tcW w:w="2326"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特种设备的生产包括设计、制造、安装、改造、修理</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一</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未经许可从事特种设备生产活动；</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二</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超出许可范围从事特种设备生产活动；</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三</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特种设备生产单位不再具备生产条件、生产许可证已经过期从事特种设备生产活动；</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四</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涂改、倒卖、出租、出借生产许可证。</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国家按照分类监督管理的原则对特种设备生产实行许可制度。特种设备生产单位应当具备下列条件，并经负责特种设备安全监督管理的部门许可，方可从事生产活动：</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（一）有与生产相适应的专业技术人员；</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（二）有与生产相适应的设备、设施和工作场所；</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（三）有健全的质量保证、安全管理和岗位责任等制度。</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第七十四条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未经许可从事特种设备生产活动的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责令停止生产</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没收违法制造的特种设备</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处十万元以上五十万元以下罚款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有违法所得的，</w:t>
            </w:r>
            <w:r>
              <w:rPr>
                <w:rFonts w:hint="default" w:ascii="Times New Roman" w:hAnsi="Times New Roman" w:eastAsia="方正楷体_GBK" w:cs="Times New Roman"/>
                <w:sz w:val="16"/>
                <w:szCs w:val="16"/>
              </w:rPr>
              <w:fldChar w:fldCharType="begin"/>
            </w:r>
            <w:r>
              <w:rPr>
                <w:rFonts w:hint="default" w:ascii="Times New Roman" w:hAnsi="Times New Roman" w:eastAsia="方正楷体_GBK" w:cs="Times New Roman"/>
                <w:sz w:val="16"/>
                <w:szCs w:val="16"/>
              </w:rPr>
              <w:instrText xml:space="preserve"> HYPERLINK "https://baike.baidu.com/item/%e6%b2%a1%e6%94%b6%e8%bf%9d%e6%b3%95%e6%89%80%e5%be%97" </w:instrText>
            </w:r>
            <w:r>
              <w:rPr>
                <w:rFonts w:hint="default" w:ascii="Times New Roman" w:hAnsi="Times New Roman" w:eastAsia="方正楷体_GBK" w:cs="Times New Roman"/>
                <w:sz w:val="16"/>
                <w:szCs w:val="16"/>
              </w:rPr>
              <w:fldChar w:fldCharType="separate"/>
            </w:r>
            <w:r>
              <w:rPr>
                <w:rFonts w:hint="default" w:ascii="Times New Roman" w:hAnsi="Times New Roman" w:eastAsia="方正楷体_GBK" w:cs="Times New Roman"/>
                <w:sz w:val="16"/>
                <w:szCs w:val="16"/>
              </w:rPr>
              <w:t>没收违法所得</w:t>
            </w:r>
            <w:r>
              <w:rPr>
                <w:rFonts w:hint="default" w:ascii="Times New Roman" w:hAnsi="Times New Roman" w:eastAsia="方正楷体_GBK" w:cs="Times New Roman"/>
                <w:sz w:val="16"/>
                <w:szCs w:val="16"/>
              </w:rPr>
              <w:fldChar w:fldCharType="end"/>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已经实施安装、改造、修理的，责令恢复原状或者责令限期由取得许可的单位重新安装、改造、修理</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违反本法规定，特种设备生产单位有下列行为之一的，责令限期改正；逾期未改正的，责令停止生产，处五万元以上五十万元以下罚款；情节严重的，吊销生产许可证：</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（一）不再具备生产条件、生产许可证已经过期或者超出许可范围生产的；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（二）明知特种设备存在同一性缺陷，未立即停止生产并召回的。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违反本法规定，特种设备生产单位生产、销售、交付国家明令淘汰的特种设备的，责令停止生产、销售，没收违法生产、销售、交付的特种设备，处三万元以上三十万元以下罚款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有违法所得的，没收违法所得。</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特种设备生产单位涂改、倒卖、出租、出借生产许可证的，责令停止生产，处五万元以上五十万元以下罚款；情节严重的，吊销生产许可证。</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.特种设备是指对人身和财产安全有较大危险性的锅炉、压力容器（含</w:t>
            </w:r>
            <w:r>
              <w:rPr>
                <w:rFonts w:hint="default" w:ascii="Times New Roman" w:hAnsi="Times New Roman" w:eastAsia="方正楷体_GBK" w:cs="Times New Roman"/>
                <w:sz w:val="16"/>
                <w:szCs w:val="16"/>
              </w:rPr>
              <w:fldChar w:fldCharType="begin"/>
            </w:r>
            <w:r>
              <w:rPr>
                <w:rFonts w:hint="default" w:ascii="Times New Roman" w:hAnsi="Times New Roman" w:eastAsia="方正楷体_GBK" w:cs="Times New Roman"/>
                <w:sz w:val="16"/>
                <w:szCs w:val="16"/>
              </w:rPr>
              <w:instrText xml:space="preserve"> HYPERLINK "https://baike.baidu.com/item/%e6%b0%94%e7%93%b6" </w:instrText>
            </w:r>
            <w:r>
              <w:rPr>
                <w:rFonts w:hint="default" w:ascii="Times New Roman" w:hAnsi="Times New Roman" w:eastAsia="方正楷体_GBK" w:cs="Times New Roman"/>
                <w:sz w:val="16"/>
                <w:szCs w:val="16"/>
              </w:rPr>
              <w:fldChar w:fldCharType="separate"/>
            </w:r>
            <w:r>
              <w:rPr>
                <w:rFonts w:hint="default" w:ascii="Times New Roman" w:hAnsi="Times New Roman" w:eastAsia="方正楷体_GBK" w:cs="Times New Roman"/>
                <w:sz w:val="16"/>
                <w:szCs w:val="16"/>
              </w:rPr>
              <w:t>气瓶</w:t>
            </w:r>
            <w:r>
              <w:rPr>
                <w:rFonts w:hint="default" w:ascii="Times New Roman" w:hAnsi="Times New Roman" w:eastAsia="方正楷体_GBK" w:cs="Times New Roman"/>
                <w:sz w:val="16"/>
                <w:szCs w:val="16"/>
              </w:rPr>
              <w:fldChar w:fldCharType="end"/>
            </w:r>
            <w:r>
              <w:rPr>
                <w:rFonts w:hint="default" w:ascii="Times New Roman" w:hAnsi="Times New Roman" w:eastAsia="方正楷体_GBK" w:cs="Times New Roman"/>
                <w:sz w:val="16"/>
                <w:szCs w:val="16"/>
              </w:rPr>
              <w:t>）、压力管道、电梯、起重机械、客运索道、大型游乐设施、场（厂）内专用机动车辆等。</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国家对特种设备实行目录管理。目前最新的是2014年公布的《特种设备目录》</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具体目录内容可以上网查询。</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生产（包括设计、制造、安装、改造、修理）目录内的特种设备应当取得国家、省级市场监督管理部门的相应许可。行政许可所需材料、程序等详见《特种设备生产和充装单位许可规则》</w:t>
            </w:r>
            <w:r>
              <w:rPr>
                <w:rFonts w:hint="default" w:ascii="Times New Roman" w:hAnsi="Times New Roman" w:eastAsia="方正楷体_GBK" w:cs="Times New Roman"/>
                <w:sz w:val="16"/>
                <w:szCs w:val="16"/>
                <w:lang w:val="en-US"/>
              </w:rPr>
              <w:t>（TSG07-2019）</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也可向当地市场监管部门咨询。</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取得许可后，必须严格按照许可范围生产，许可证有效期限届满前六个月应当依法办理换证申请或承诺声明。不再具备生产条件、生产许可证已经过期的，不得从事特种设备生产。</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7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特种设备出厂时，应当随附安全技术规范要求的技术资料和文件</w:t>
            </w:r>
          </w:p>
        </w:tc>
        <w:tc>
          <w:tcPr>
            <w:tcW w:w="2326"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特种设备出厂时，未按照安全技术规范要求随附设计文件、产品质量合格证明、安装及使用维护保养说明、监督检验证明等相关技术资料和文件</w:t>
            </w:r>
            <w:r>
              <w:rPr>
                <w:rFonts w:hint="eastAsia" w:ascii="Times New Roman" w:hAnsi="Times New Roman" w:eastAsia="方正楷体_GBK" w:cs="Times New Roman"/>
                <w:sz w:val="16"/>
                <w:szCs w:val="16"/>
                <w:lang w:eastAsia="zh-CN"/>
              </w:rPr>
              <w:t>。</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特种设备出厂时，应当随附安全技术规范要求的设计文件、产品质量合格证明、安装及使用维护保养说明、监督检验证明等相关技术资料和文件，并在特种设备显著位置设置产品铭牌、安全警示标志及其说明。</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第七十七条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违反本法规定，特种设备出厂时，未按照安全技术规范的要求随附相关技术资料和文件的，责令限期改正；逾期未改正的，责令停止制造、销售，处二万元以上二十万元以下罚款；有违法所得的，没收违法所得。</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特种设备出厂时，应当随附安全技术规范要求的设计文件、产品质量合格证明、安装及使用维护保养说明、监督检验证明等相关技术资料和文件，并在特种设备显著位置设置产品铭牌、安全警示标志及其说明。</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53"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特种设备的制造</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安装、改造、重大修理过程应当经过监督检验</w:t>
            </w:r>
          </w:p>
        </w:tc>
        <w:tc>
          <w:tcPr>
            <w:tcW w:w="2326"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1.锅炉</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压力容器</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压力管道元件等特种设备的制造过程未经监督检验或监督检验不合格即出厂</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2.锅炉</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压力容器</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压力管道、电梯、起重机械、客运索道、大型游乐设施的安装、改造、重大修理过程未经监督检验或者监督检验不合格即交付使用。</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锅炉、压力容器、压力管道元件等特种设备的制造过程和锅炉、压力容器、压力管道、电梯、起重机械、客运索道、大型游乐设施的安装、改造、重大修理过程，应当经特种设备检验机构按照安全技术规范的要求进行监督检验；未经监督检验或者监督检验不合格的，不得出厂或者交付使用。</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第七十九条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的制造、安装、改造、重大修理以及锅炉清洗过程，未经监督检验的，责令限期改正；逾期未改正的，处五万元以上二十万元以下罚款；有违法所得的，没收违法所得；情节严重的，吊销生产许可证。</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1.锅炉</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压力容器、压力管道元件等特种设备的制造单位，在上述特种设备的制造过程中应当向当地特种设备检验机构申请监督检验。</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2.特种设备安装、改造、重大修理过程应当由有相应资质的施工单位向当地特种设备检验机构申请监督检验。</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7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特种设备安装</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改造</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修理施工前应当书面告知市场监管部门</w:t>
            </w:r>
          </w:p>
        </w:tc>
        <w:tc>
          <w:tcPr>
            <w:tcW w:w="2326"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特种设备安装、改造、修理施工前未书面告知市场监管部门</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如，安装电梯或者修理压力容器等，施工前未向市场监督部门办理开工告知</w:t>
            </w:r>
            <w:r>
              <w:rPr>
                <w:rFonts w:hint="eastAsia" w:ascii="Times New Roman" w:hAnsi="Times New Roman" w:eastAsia="方正楷体_GBK" w:cs="Times New Roman"/>
                <w:sz w:val="16"/>
                <w:szCs w:val="16"/>
                <w:lang w:eastAsia="zh-CN"/>
              </w:rPr>
              <w:t>。</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特种设备安装、改造、修理的施工单位应当在施工前将拟进行的特种设备安装、改造、修理情况书面告知直辖市或者设区的市级人民政府负责特种设备安全监督管理的部门。</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第七十八条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安装、改造、修理的施工单位在施工前未书面告知负责特种设备安全监督管理的部门即行施工的，或者在验收后三十日内未将相关技术资料和文件移交特种设备使用单位的，责令限期改正；逾期未改正的，处一万元以上十万元以下罚款。</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特种设备安装、改造、修理的施工单位在施工前，应当将施工单位资质、施工时间及拟安装、改造、修理的特种设备相关资料等及时书面告知所在地的市场监管部门。</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特种设备安装、改造、修理竣工验收后三十日内应当将相关技术资料和文件移交特种设备使用单位</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特种设备安装、改造、修理的施工单位在竣工验收后三十日内未将相关技术资料和文件移交特种设备使用单位。</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特种设备安装、改造、修理竣工后，安装、改造、修理的施工单位应当在验收后三十日内将相关技术资料和文件移交特种设备使用单位。特种设备使用单位应当将其存入该特种设备的安全技术档案。</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第七十八条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安装、改造、修理的施工单位在施工前未书面告知负责特种设备安全监督管理的部门即行施工的，或者在验收后三十日内未将相关技术资料和文件移交特种设备使用单位的，责令限期改正；逾期未改正的，处一万元以上十万元以下罚款。</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特种设备安装、改造、修理竣工后，施工单位在验收后三十日内将特种设备出厂资料、监督检验合格报告等相关技术资料和文件移交特种设备使用单位。</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eastAsia" w:ascii="黑体" w:eastAsia="黑体"/>
                <w:b/>
                <w:sz w:val="20"/>
                <w:lang w:val="en-US" w:eastAsia="zh-CN"/>
              </w:rPr>
            </w:pPr>
            <w:r>
              <w:rPr>
                <w:rFonts w:hint="default" w:ascii="Times New Roman" w:hAnsi="Times New Roman" w:eastAsia="黑体" w:cs="Times New Roman"/>
                <w:b w:val="0"/>
                <w:bCs/>
                <w:sz w:val="16"/>
                <w:szCs w:val="16"/>
                <w:lang w:val="en-US" w:eastAsia="zh-CN"/>
              </w:rPr>
              <w:t>6</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特种设备销售单位应当建立并执行检查验收和销售记录制度，销售的特种设备应当取得许可生产并经检验合格</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.销售未取得许可生产的特种设备；</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.销售未经检验或者检验不合格的特种设备；</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.销售国家明令淘汰、已经报废的特种设备；</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.销售未按照安全技术规范的要求进行维护保养的特种设备；</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lang w:val="en-US" w:eastAsia="zh-CN"/>
              </w:rPr>
              <w:t>5</w:t>
            </w:r>
            <w:r>
              <w:rPr>
                <w:rFonts w:hint="default" w:ascii="Times New Roman" w:hAnsi="Times New Roman" w:eastAsia="方正楷体_GBK" w:cs="Times New Roman"/>
                <w:sz w:val="16"/>
                <w:szCs w:val="16"/>
              </w:rPr>
              <w:t>.销售相关技术资料和文件不齐全的特种设备；</w:t>
            </w:r>
          </w:p>
          <w:p>
            <w:pPr>
              <w:pStyle w:val="16"/>
              <w:bidi w:val="0"/>
              <w:ind w:firstLine="320" w:firstLineChars="200"/>
              <w:jc w:val="both"/>
              <w:rPr>
                <w:rFonts w:hint="default"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lang w:val="en-US" w:eastAsia="zh-CN"/>
              </w:rPr>
              <w:t>6</w:t>
            </w:r>
            <w:r>
              <w:rPr>
                <w:rFonts w:hint="default" w:ascii="Times New Roman" w:hAnsi="Times New Roman" w:eastAsia="方正楷体_GBK" w:cs="Times New Roman"/>
                <w:sz w:val="16"/>
                <w:szCs w:val="16"/>
              </w:rPr>
              <w:t>.特种设备销售单位未建立检查验收和销售记录制度</w:t>
            </w:r>
            <w:r>
              <w:rPr>
                <w:rFonts w:hint="default"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7</w:t>
            </w:r>
            <w:r>
              <w:rPr>
                <w:rFonts w:hint="default" w:ascii="Times New Roman" w:hAnsi="Times New Roman" w:eastAsia="方正楷体_GBK" w:cs="Times New Roman"/>
                <w:sz w:val="16"/>
                <w:szCs w:val="16"/>
              </w:rPr>
              <w:t>.销售、转让使用过的特种设备，未向购买者或者受让者提供相关证明。</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第二十七条第二款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特种设备销售单位应当建立特种设备检查验收和销售记录制度。</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第八十二条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违反本法规定，特种设备经营单位有下列行为之一的，责令停止经营，没收违法经营的特种设备，处三万元以上三十万元以下罚款；有违法所得的，没收违法所得</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（一）销售、出租未取得许可生产，未经检验或者检验不合格的特种设备的；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（二）销售、出租国家明令淘汰、已经报废的特种设备，或者未按照安全技术规范的要求进行维护保养的特种设备的。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违反本法规定，特种设备销售单位未建立检查验收和销售记录制度，或者进口特种设备未履行提前告知义务的，责令改正，处一万元以上十万元以下罚款。</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特种设备生产单位销售、交付未经检验或者检验不合格的特种设备的，依照本条第一款规定处罚；情节严重的，吊销生产许可证。</w:t>
            </w:r>
          </w:p>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【地方性法规】《江苏省特种设备安全条例》（2021修正）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违反本条例第九条规定，特种设备销售单位销售相关技术资料和文件不齐全的特种设备的，由特种设备安全监督管理部门责令停止销售，限期改正</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逾期未改正的，处二万元以上二十万元以下罚款；有违法所得的，没收违法所得。</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第四十二条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违反本条例第十条规定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销售</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转让使用过的特种设备，未向购买者或者受让者提供原使用单位的特种设备使用登记注销证明、安全技术档案和监督检验或者定期检验合格证明的，由特种设备安全监督管理部门责令停止销售、转让，限期改正；逾期未改正的，处二万元以上二十万元以下罚款。</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特种设备销售单位应当对其所售产品的合法性负责，并建立特种设备检验收和销售记录制度。进货时应当验明特种设备制造许可证、设计文件、产品质量合格证明、安装及使用维护保养说明、监督检验证明等相关技术资料和文件，同时做好记录并保存好相关凭证。销售时也应做好销售记录，载明购买单位、时间、设备本体质量、安全附件和安全保护装置配备、附随资料和文件的检查情况等。</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2.销售</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转让使用过的特种设备的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还应当向购买者或者受让者提供原使用单位的特种设备使用登记注销证明</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安全技术档案和监督检验或者定期检验合格证明。</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7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7</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特种设备出租单位应当</w:t>
            </w:r>
            <w:r>
              <w:rPr>
                <w:rFonts w:hint="default" w:ascii="Times New Roman" w:hAnsi="Times New Roman" w:eastAsia="方正楷体_GBK" w:cs="Times New Roman"/>
                <w:sz w:val="16"/>
                <w:szCs w:val="16"/>
                <w:highlight w:val="none"/>
              </w:rPr>
              <w:t>出租经</w:t>
            </w:r>
            <w:r>
              <w:rPr>
                <w:rFonts w:hint="default" w:ascii="Times New Roman" w:hAnsi="Times New Roman" w:eastAsia="方正楷体_GBK" w:cs="Times New Roman"/>
                <w:sz w:val="16"/>
                <w:szCs w:val="16"/>
              </w:rPr>
              <w:t>许可生产并经检验合格的特种设备</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.出租未取得许可生产、未经检验或者检验不合格的特种设备；</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.出租国家明令淘汰、已经报废的特种设备；</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.出租未按照安全技术规范的要求进行维护保养的特种设备。</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特种设备出租单位不得出租未取得许可生产的特种设备或者国家明令淘汰和已经报废的特种设备，以及未按照安全技术规范的要求进行维护保养和未经检验或者检验不合格的特种设备。</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特种设备在出租期间的使用管理和维护保养义务由特种设备出租单位承担，法律另有规定或者当事人另有约定的除外。</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第八十二条第一款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违反本法规定，特种设备经营单位有下列行为之一的，责令停止经营，没收违法经营的特种设备，处三万元以上三十万元以下罚款；有违法所得的，没收违法所得：</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（一）销售、出租未取得许可生产，未经检验或者检验不合格的特种设备的；</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（二）销售、出租国家明令淘汰、已经报废的特种设备，或者未按照安全技术规范的要求进行维护保养的特种设备。</w:t>
            </w:r>
          </w:p>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【地方性法规】《江苏省特种设备安全条例》（2021修正）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违反本条例第十一条规定，有下列行为之一的，由特种设备安全监督管理部门责令改正，可以处二千元以上一万元以下罚款：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（一）特种设备出租单位未向特种设备承租单位提供相关证明的</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（二）证明文件不齐全，特种设备承租单位将特种设备投入使用的</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（三）证明文件不齐全，场地经营管理单位允许特种设备进场使用的。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特种设备在出租期间的使用管理和维护保养义务由特种设备出租单位承担，法律另有规定或者当事人另有约定的除外。监管中常发现承租单位使用的特种设备未经定期检验等违法行为，且出租单位和承租单位未就出租期间特种设备的使用管理和维护保养义务进行约定或约定不明确。因此建议：</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一</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特种设备出租单位应当向特种设备承租单位提供所出租特种设备的使用登记证明、定期检验合格证明；配备特种设备作业人员的，还应当提供作业人员资格证明。特种设备承租单位应当查验，确保合法后方能投入使用。</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二</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出租方和承租方应当在合同中就出租期间特种设备的使用管理和维护保养义务作出明确约定，以确保使用的特种设备合法、安全。</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8</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特种设备使用单位应当依法办理使用登记</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特种设备使用单位未向市场监督管理部门申请办理使用登记。</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如，电梯在投入使用后30日后仍未办理使用登记，未取得使用登记证书。</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特种设备使用单位应当在特种设备投入使用前或者投入使用后三十日内，向负责特种设备安全监督管理的部门办理使用登记，取得使用登记证书。登记标志应当置于该特种设备的显著位置。</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第八十三条第（一）项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违反本法规定，特种设备使用单位有下列行为之一的，责令限期改正；逾期未改正的，责令停止使用有关特种设备，处一万元以上十万元以下罚款：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（一）使用特种设备未按照规定办理使用登记的；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特种设备使用单位应当在特种设备投入使用前或者投入使用后三十日内，向所在地市场监督管理部门申请办理使用登记，领取《特种设备使用登记证》，设备注销时交回使用登记证。</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9</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特种设备使用单位应当使用取得许可生产、并经检验合格的特种设备</w:t>
            </w:r>
          </w:p>
        </w:tc>
        <w:tc>
          <w:tcPr>
            <w:tcW w:w="2326"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.特种设备使用单位使用的特种设备未取得相应的生产许可证；</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.特种设备使用单位使用的特种设备未经监督检验或监督检验不合格；</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.特种设备使用单位使用的特种设备未经定期检验或定期检验不合格；</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.特种设备使用单位未按安全技术规范的要求，在检验合格有效期届满前一个月向特种设备检验机构提出定期检验要求。</w:t>
            </w:r>
          </w:p>
        </w:tc>
        <w:tc>
          <w:tcPr>
            <w:tcW w:w="5526"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第三十二条第一款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特种设备使用单位应当使用取得许可生产并经检验合格的特种设备。</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特种设备使用单位应当按照安全技术规范的要求，在检验合格有效期届满前一个月向特种设备检验机构提出定期检验要求。</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第八十三条第（四）项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特种设备使用单位有下列行为之一的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责令限期改正</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逾期未改正的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责令停止使用有关特种设备</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处一万元以上十万元以下罚款：</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（四）未按照安全技术规范的要求及时申报并接受检验的</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第八十四条第（一）项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违反本法规定，特种设备使用单位有下列行为之一的，责令停止使用有关特种设备，处三万元以上三十万元以下罚款：</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（一）使用未取得许可生产，未经检验或者检验不合格的特种设备，或者国家明令淘汰、已经报废的特种设备的；</w:t>
            </w:r>
          </w:p>
        </w:tc>
        <w:tc>
          <w:tcPr>
            <w:tcW w:w="750"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特种设备使用单位应当采购、使用取得许可生产（含设计、制造、安装、改造、修理，下同），并且经检验合格的特种设备，不得采购超过设计使用年限的特种设备，禁止使用国家明令淘汰和已经报废的特种设备。</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特种设备使用单位应当建立健全特种设备管理制度，配备特种设备管理人员，做好特种设备台账记录，明确记载特种设备检验到期时间，确保在检验合格有效期届满前一个月向特种设备检验机构申请定期检验，避免超期使用。</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10</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特种设备使用单位应当将使用登记标志和定期检验标志置于设备的显著位置</w:t>
            </w:r>
          </w:p>
        </w:tc>
        <w:tc>
          <w:tcPr>
            <w:tcW w:w="2326"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特种设备使用单位未将使用登记标志和定期检验标志置于设备显著位置。</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如，电梯使用单位未将电梯使用标志张贴于电梯内。</w:t>
            </w:r>
          </w:p>
        </w:tc>
        <w:tc>
          <w:tcPr>
            <w:tcW w:w="5526"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特种设备使用单位应当在特种设备投入使用前或者投入使用后三十日内，向负责特种设备安全监督管理的部门办理使用登记，取得使用登记证书。登记标志应当置于该特种设备的显著位置。</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特种设备检验机构接到定期检验要求后，应当按照安全技术规范的要求及时进行安全性能检验。特种设备使用单位应当将定期检验标志置于该特种设备的显著位置。</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第八十三条第（二）项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违反本法规定，特种设备使用单位有下列行为之一的，责令限期改正；逾期未改正的，责令停止使用有关特种设备，处一万元以上十万元以下罚款：</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（二）未建立特种设备安全技术档案或者安全技术档案不符合规定要求，或者未依法设置使用登记标志、定期检验标志的；</w:t>
            </w:r>
          </w:p>
        </w:tc>
        <w:tc>
          <w:tcPr>
            <w:tcW w:w="750"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特种设备使用单位在办理使用登记后，应及时将使用登记标志置于设备显著位置。</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11</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特种设备使用单位应当建立齐全的设备档案</w:t>
            </w:r>
          </w:p>
        </w:tc>
        <w:tc>
          <w:tcPr>
            <w:tcW w:w="2326"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特种设备使用单位未建立安全技术档案或档案不齐全。</w:t>
            </w:r>
          </w:p>
        </w:tc>
        <w:tc>
          <w:tcPr>
            <w:tcW w:w="5526"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特种设备使用单位应当建立特种设备安全技术档案。</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第八十三条第（二）项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违反本法规定，特种设备使用单位有下列行为之一的，责令限期改正；逾期未改正的，责令停止使用有关特种设备，处一万元以上十万元以下罚款：</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（二）未建立特种设备安全技术档案或者安全技术档案不符合规定要求，或者未依法设置使用登记标志、定期检验标志的；</w:t>
            </w:r>
          </w:p>
        </w:tc>
        <w:tc>
          <w:tcPr>
            <w:tcW w:w="750"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特种设备安全技术档案包含以下内容</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（一）特种设备的设计文件、产品质量合格证明、安装及使用维护保养说明、监督检验证明等相关技术资料和文件</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（二）特种设备的定期检验和定期自行检查记录</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（三）特种设备的日常使用状况记录</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（四）特种设备及其附属仪器仪表的维护保养记录</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（五）特种设备的运行故障和事故记录</w:t>
            </w:r>
            <w:r>
              <w:rPr>
                <w:rFonts w:hint="eastAsia" w:ascii="Times New Roman" w:hAnsi="Times New Roman" w:eastAsia="方正楷体_GBK" w:cs="Times New Roman"/>
                <w:sz w:val="16"/>
                <w:szCs w:val="16"/>
                <w:lang w:eastAsia="zh-CN"/>
              </w:rPr>
              <w:t>。</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6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12</w:t>
            </w:r>
          </w:p>
        </w:tc>
        <w:tc>
          <w:tcPr>
            <w:tcW w:w="1354" w:type="dxa"/>
            <w:tcMar>
              <w:top w:w="57" w:type="dxa"/>
              <w:left w:w="57" w:type="dxa"/>
              <w:bottom w:w="57" w:type="dxa"/>
              <w:right w:w="57" w:type="dxa"/>
            </w:tcMar>
            <w:vAlign w:val="center"/>
          </w:tcPr>
          <w:p>
            <w:pPr>
              <w:pStyle w:val="18"/>
              <w:spacing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特种设备使用单位应当对其使用的特种设备进行维护保养和定期检查</w:t>
            </w:r>
          </w:p>
        </w:tc>
        <w:tc>
          <w:tcPr>
            <w:tcW w:w="2326" w:type="dxa"/>
            <w:tcMar>
              <w:top w:w="57" w:type="dxa"/>
              <w:left w:w="57" w:type="dxa"/>
              <w:bottom w:w="57" w:type="dxa"/>
              <w:right w:w="57" w:type="dxa"/>
            </w:tcMar>
            <w:vAlign w:val="center"/>
          </w:tcPr>
          <w:p>
            <w:pPr>
              <w:pStyle w:val="18"/>
              <w:spacing w:line="240" w:lineRule="auto"/>
              <w:ind w:left="0" w:leftChars="0" w:firstLine="320" w:firstLineChars="200"/>
              <w:jc w:val="both"/>
              <w:rPr>
                <w:rFonts w:hint="default"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1.特种设备使用单位未对其使用的特种设备进行经常性维护保养和定期自行检查，并</w:t>
            </w:r>
            <w:r>
              <w:rPr>
                <w:rFonts w:hint="eastAsia" w:ascii="Times New Roman" w:hAnsi="Times New Roman" w:eastAsia="方正楷体_GBK" w:cs="Times New Roman"/>
                <w:sz w:val="16"/>
                <w:szCs w:val="16"/>
                <w:highlight w:val="none"/>
                <w:lang w:eastAsia="zh-CN"/>
              </w:rPr>
              <w:t>做出</w:t>
            </w:r>
            <w:r>
              <w:rPr>
                <w:rFonts w:hint="default" w:ascii="Times New Roman" w:hAnsi="Times New Roman" w:eastAsia="方正楷体_GBK" w:cs="Times New Roman"/>
                <w:sz w:val="16"/>
                <w:szCs w:val="16"/>
              </w:rPr>
              <w:t>记录</w:t>
            </w:r>
            <w:r>
              <w:rPr>
                <w:rFonts w:hint="default" w:ascii="Times New Roman" w:hAnsi="Times New Roman" w:eastAsia="方正楷体_GBK" w:cs="Times New Roman"/>
                <w:sz w:val="16"/>
                <w:szCs w:val="16"/>
                <w:lang w:eastAsia="zh-CN"/>
              </w:rPr>
              <w:t>。</w:t>
            </w:r>
          </w:p>
          <w:p>
            <w:pPr>
              <w:pStyle w:val="18"/>
              <w:spacing w:line="240" w:lineRule="auto"/>
              <w:ind w:left="0" w:leftChars="0"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如</w:t>
            </w:r>
            <w:r>
              <w:rPr>
                <w:rFonts w:hint="default"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锅炉未及时填写运行记录</w:t>
            </w:r>
            <w:r>
              <w:rPr>
                <w:rFonts w:hint="default"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压力容器、压力管道未按规定进行年度检查；压力管道未有运行、检修和日常巡检记录；起重机械、厂车检修记录未及时填写。</w:t>
            </w:r>
          </w:p>
          <w:p>
            <w:pPr>
              <w:pStyle w:val="18"/>
              <w:spacing w:line="240" w:lineRule="auto"/>
              <w:ind w:left="0" w:leftChars="0"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2.特种设备使用单位未对其使用的特种设备的安全附件、安全保护装置进行定期校验、检修，并</w:t>
            </w:r>
            <w:r>
              <w:rPr>
                <w:rFonts w:hint="eastAsia" w:ascii="Times New Roman" w:hAnsi="Times New Roman" w:eastAsia="方正楷体_GBK" w:cs="Times New Roman"/>
                <w:sz w:val="16"/>
                <w:szCs w:val="16"/>
                <w:highlight w:val="none"/>
                <w:lang w:eastAsia="zh-CN"/>
              </w:rPr>
              <w:t>做出</w:t>
            </w:r>
            <w:r>
              <w:rPr>
                <w:rFonts w:hint="default" w:ascii="Times New Roman" w:hAnsi="Times New Roman" w:eastAsia="方正楷体_GBK" w:cs="Times New Roman"/>
                <w:sz w:val="16"/>
                <w:szCs w:val="16"/>
              </w:rPr>
              <w:t>记录。</w:t>
            </w:r>
          </w:p>
          <w:p>
            <w:pPr>
              <w:pStyle w:val="18"/>
              <w:spacing w:line="240" w:lineRule="auto"/>
              <w:ind w:left="0" w:lef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如</w:t>
            </w:r>
            <w:r>
              <w:rPr>
                <w:rFonts w:hint="default"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安全阀未有有效的校验报告或标记；压力表未有有效的检定证书或标记，电梯内设置的报警装置失效。</w:t>
            </w:r>
          </w:p>
        </w:tc>
        <w:tc>
          <w:tcPr>
            <w:tcW w:w="5526" w:type="dxa"/>
            <w:tcMar>
              <w:top w:w="57" w:type="dxa"/>
              <w:left w:w="57" w:type="dxa"/>
              <w:bottom w:w="57" w:type="dxa"/>
              <w:right w:w="57" w:type="dxa"/>
            </w:tcMar>
            <w:vAlign w:val="center"/>
          </w:tcPr>
          <w:p>
            <w:pPr>
              <w:pStyle w:val="18"/>
              <w:spacing w:line="240" w:lineRule="auto"/>
              <w:ind w:firstLine="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8"/>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第三十九条</w:t>
            </w:r>
            <w:r>
              <w:rPr>
                <w:rFonts w:hint="default"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特种设备使用单位应当对其使用的特种设备进行经常性维护保养和定期自行检查，并</w:t>
            </w:r>
            <w:r>
              <w:rPr>
                <w:rFonts w:hint="eastAsia" w:ascii="Times New Roman" w:hAnsi="Times New Roman" w:eastAsia="方正楷体_GBK" w:cs="Times New Roman"/>
                <w:sz w:val="16"/>
                <w:szCs w:val="16"/>
                <w:highlight w:val="none"/>
                <w:lang w:eastAsia="zh-CN"/>
              </w:rPr>
              <w:t>做出</w:t>
            </w:r>
            <w:r>
              <w:rPr>
                <w:rFonts w:hint="default" w:ascii="Times New Roman" w:hAnsi="Times New Roman" w:eastAsia="方正楷体_GBK" w:cs="Times New Roman"/>
                <w:sz w:val="16"/>
                <w:szCs w:val="16"/>
              </w:rPr>
              <w:t>记录。</w:t>
            </w:r>
          </w:p>
          <w:p>
            <w:pPr>
              <w:pStyle w:val="18"/>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特种设备使用单位应当对其使用的特种设备的安全附件、安全保护装置进行定期校验、检修，并</w:t>
            </w:r>
            <w:r>
              <w:rPr>
                <w:rFonts w:hint="eastAsia" w:ascii="Times New Roman" w:hAnsi="Times New Roman" w:eastAsia="方正楷体_GBK" w:cs="Times New Roman"/>
                <w:sz w:val="16"/>
                <w:szCs w:val="16"/>
                <w:highlight w:val="none"/>
                <w:lang w:eastAsia="zh-CN"/>
              </w:rPr>
              <w:t>做出</w:t>
            </w:r>
            <w:r>
              <w:rPr>
                <w:rFonts w:hint="default" w:ascii="Times New Roman" w:hAnsi="Times New Roman" w:eastAsia="方正楷体_GBK" w:cs="Times New Roman"/>
                <w:sz w:val="16"/>
                <w:szCs w:val="16"/>
              </w:rPr>
              <w:t>记录。</w:t>
            </w:r>
          </w:p>
          <w:p>
            <w:pPr>
              <w:pStyle w:val="18"/>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第八十三条第（三）项</w:t>
            </w:r>
            <w:r>
              <w:rPr>
                <w:rFonts w:hint="default"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违反本法规定，特种设备使用单位有下列行为之一的，责令限期改正；逾期未改正的，责令停止使用有关特种设备，处一万元以上十万元以下罚款：</w:t>
            </w:r>
          </w:p>
          <w:p>
            <w:pPr>
              <w:pStyle w:val="18"/>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（三）未对其使用的特种设备进行经常性维护保养和定期自行检查，或者未对其使用的特种设备的安全附件、安全保护装置进行定期校验、检修，并</w:t>
            </w:r>
            <w:r>
              <w:rPr>
                <w:rFonts w:hint="eastAsia" w:ascii="Times New Roman" w:hAnsi="Times New Roman" w:eastAsia="方正楷体_GBK" w:cs="Times New Roman"/>
                <w:sz w:val="16"/>
                <w:szCs w:val="16"/>
                <w:highlight w:val="none"/>
                <w:lang w:eastAsia="zh-CN"/>
              </w:rPr>
              <w:t>做出</w:t>
            </w:r>
            <w:r>
              <w:rPr>
                <w:rFonts w:hint="default" w:ascii="Times New Roman" w:hAnsi="Times New Roman" w:eastAsia="方正楷体_GBK" w:cs="Times New Roman"/>
                <w:sz w:val="16"/>
                <w:szCs w:val="16"/>
              </w:rPr>
              <w:t>记录的；</w:t>
            </w:r>
          </w:p>
        </w:tc>
        <w:tc>
          <w:tcPr>
            <w:tcW w:w="750"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8"/>
              <w:spacing w:line="240" w:lineRule="auto"/>
              <w:ind w:left="0" w:leftChars="0"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特种设备使用单位应当按照《特种设备使用管理规则》等要求，对特种设备进行日常维护保养或定期自行检查，并及时填写维护保养和检查记录。</w:t>
            </w:r>
          </w:p>
          <w:p>
            <w:pPr>
              <w:pStyle w:val="18"/>
              <w:spacing w:line="240" w:lineRule="auto"/>
              <w:ind w:left="0" w:lef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特种设备使用单位应按规定对安全附件、安全保护装置进行定期校验、检修，并</w:t>
            </w:r>
            <w:r>
              <w:rPr>
                <w:rFonts w:hint="eastAsia" w:ascii="Times New Roman" w:hAnsi="Times New Roman" w:eastAsia="方正楷体_GBK" w:cs="Times New Roman"/>
                <w:sz w:val="16"/>
                <w:szCs w:val="16"/>
                <w:highlight w:val="none"/>
                <w:lang w:eastAsia="zh-CN"/>
              </w:rPr>
              <w:t>做出</w:t>
            </w:r>
            <w:r>
              <w:rPr>
                <w:rFonts w:hint="default" w:ascii="Times New Roman" w:hAnsi="Times New Roman" w:eastAsia="方正楷体_GBK" w:cs="Times New Roman"/>
                <w:sz w:val="16"/>
                <w:szCs w:val="16"/>
              </w:rPr>
              <w:t>记录。</w:t>
            </w:r>
          </w:p>
        </w:tc>
        <w:tc>
          <w:tcPr>
            <w:tcW w:w="1117"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2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13</w:t>
            </w:r>
          </w:p>
        </w:tc>
        <w:tc>
          <w:tcPr>
            <w:tcW w:w="1354" w:type="dxa"/>
            <w:tcMar>
              <w:top w:w="57" w:type="dxa"/>
              <w:left w:w="57" w:type="dxa"/>
              <w:bottom w:w="57" w:type="dxa"/>
              <w:right w:w="57" w:type="dxa"/>
            </w:tcMar>
            <w:vAlign w:val="center"/>
          </w:tcPr>
          <w:p>
            <w:pPr>
              <w:pStyle w:val="18"/>
              <w:spacing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客运索道</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大型游乐设施每日投入使用前，应当进行试运行和例行安全检查，应当对安全附件和安全保护装置进行检查确认</w:t>
            </w:r>
          </w:p>
        </w:tc>
        <w:tc>
          <w:tcPr>
            <w:tcW w:w="2326" w:type="dxa"/>
            <w:tcMar>
              <w:top w:w="57" w:type="dxa"/>
              <w:left w:w="57" w:type="dxa"/>
              <w:bottom w:w="57" w:type="dxa"/>
              <w:right w:w="57" w:type="dxa"/>
            </w:tcMar>
            <w:vAlign w:val="center"/>
          </w:tcPr>
          <w:p>
            <w:pPr>
              <w:pStyle w:val="18"/>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客运索道、大型游乐设施每日投入使用前，未进行试运行和例行安全检查，未对安全附件和安全保护装置进行检查确认。</w:t>
            </w:r>
          </w:p>
        </w:tc>
        <w:tc>
          <w:tcPr>
            <w:tcW w:w="5526" w:type="dxa"/>
            <w:tcMar>
              <w:top w:w="57" w:type="dxa"/>
              <w:left w:w="57" w:type="dxa"/>
              <w:bottom w:w="57" w:type="dxa"/>
              <w:right w:w="57" w:type="dxa"/>
            </w:tcMar>
            <w:vAlign w:val="center"/>
          </w:tcPr>
          <w:p>
            <w:pPr>
              <w:pStyle w:val="18"/>
              <w:spacing w:line="240" w:lineRule="auto"/>
              <w:ind w:firstLine="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8"/>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第四十三条第一款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客运索道、大型游乐设施在每日投入使用前，其运营使用单位应当进行试运行和例行安全检查，并对安全附件和安全保护装置进行检查确认。</w:t>
            </w:r>
          </w:p>
          <w:p>
            <w:pPr>
              <w:pStyle w:val="18"/>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第八十七条第（二）项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违反本法规定，电梯、客运索道、大型游乐设施的运营使用单位有下列情形之一的，责令限期改正；逾期未改正的，责令停止使用有关特种设备或者停产停业整顿，处二万元以上十万元以下罚款：</w:t>
            </w:r>
          </w:p>
          <w:p>
            <w:pPr>
              <w:pStyle w:val="18"/>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（二）客运索道、大型游乐设施每日投入使用前，未进行试运行和例行安全检查，未对安全附件和安全保护装置进行检查确认的；</w:t>
            </w:r>
          </w:p>
        </w:tc>
        <w:tc>
          <w:tcPr>
            <w:tcW w:w="750"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8"/>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客运索道、大型游乐设施每日投入使用前，应当按规定进行试运行和例行安全检查，对安全附件和安全保护装置进行检查确认，并如实记录。</w:t>
            </w:r>
          </w:p>
        </w:tc>
        <w:tc>
          <w:tcPr>
            <w:tcW w:w="1117"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6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14</w:t>
            </w:r>
          </w:p>
        </w:tc>
        <w:tc>
          <w:tcPr>
            <w:tcW w:w="1354" w:type="dxa"/>
            <w:tcMar>
              <w:top w:w="57" w:type="dxa"/>
              <w:left w:w="57" w:type="dxa"/>
              <w:bottom w:w="57" w:type="dxa"/>
              <w:right w:w="57" w:type="dxa"/>
            </w:tcMar>
            <w:vAlign w:val="center"/>
          </w:tcPr>
          <w:p>
            <w:pPr>
              <w:pStyle w:val="18"/>
              <w:spacing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电梯</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客运索道</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大型游乐设施的运营使用单位应当将特种设备的安全使用说明</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安全注意事项和警示标志置于显著位置</w:t>
            </w:r>
          </w:p>
        </w:tc>
        <w:tc>
          <w:tcPr>
            <w:tcW w:w="2326" w:type="dxa"/>
            <w:tcMar>
              <w:top w:w="57" w:type="dxa"/>
              <w:left w:w="57" w:type="dxa"/>
              <w:bottom w:w="57" w:type="dxa"/>
              <w:right w:w="57" w:type="dxa"/>
            </w:tcMar>
            <w:vAlign w:val="center"/>
          </w:tcPr>
          <w:p>
            <w:pPr>
              <w:pStyle w:val="18"/>
              <w:spacing w:before="100" w:line="240" w:lineRule="auto"/>
              <w:ind w:left="0" w:leftChars="0"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电梯、客运索道、大型游乐设施的运营使用单位未将电梯、客运索道、大型游乐设施的安全使用说明、安全注意事项和警示标志置于易于为乘客注意的显著位置。</w:t>
            </w:r>
          </w:p>
          <w:p>
            <w:pPr>
              <w:pStyle w:val="18"/>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如，未将大型游乐设施的安全注意事项和警示标志置于易为乘客注意的显著位置。</w:t>
            </w:r>
          </w:p>
        </w:tc>
        <w:tc>
          <w:tcPr>
            <w:tcW w:w="5526" w:type="dxa"/>
            <w:tcMar>
              <w:top w:w="57" w:type="dxa"/>
              <w:left w:w="57" w:type="dxa"/>
              <w:bottom w:w="57" w:type="dxa"/>
              <w:right w:w="57" w:type="dxa"/>
            </w:tcMar>
            <w:vAlign w:val="center"/>
          </w:tcPr>
          <w:p>
            <w:pPr>
              <w:pStyle w:val="18"/>
              <w:spacing w:line="240" w:lineRule="auto"/>
              <w:ind w:firstLine="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8"/>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第四十三条第二款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电梯、客运索道、大型游乐设施的运营使用单位应当将电梯、客运索道、大型游乐设施的安全使用说明、安全注意事项和警示标志置于易于为乘客注意的显著位置。</w:t>
            </w:r>
          </w:p>
          <w:p>
            <w:pPr>
              <w:pStyle w:val="18"/>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第八十七条第（三）项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违反本法规定，电梯、客运索道、大型游乐设施的运营使用单位有下列情形之一的，责令限期改正；逾期未改正的，责令停止使用有关特种设备或者停产停业整顿，处二万元以上十万元以下罚款：</w:t>
            </w:r>
          </w:p>
          <w:p>
            <w:pPr>
              <w:pStyle w:val="18"/>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（三）未将电梯</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客运索道、大型游乐设施的安全使用说明、安全注意事项和警示标志置于易于为乘客注意的显著位置的。</w:t>
            </w:r>
          </w:p>
        </w:tc>
        <w:tc>
          <w:tcPr>
            <w:tcW w:w="750"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8"/>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电梯、客运索道、大型游乐设施的运营使用单位应当建立健全相关特种设备的管理制度，配备相应的特种设备管理人员，并加强日常检查，确保将电梯、客运索道、大型游乐设施的安全使用说明、安全注意事项和警示标志置于易于为乘客注意的显著位置。如有损坏或脱落，应当及时补全。</w:t>
            </w:r>
          </w:p>
        </w:tc>
        <w:tc>
          <w:tcPr>
            <w:tcW w:w="1117"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keepNext w:val="0"/>
        <w:keepLines w:val="0"/>
        <w:widowControl/>
        <w:suppressLineNumbers w:val="0"/>
        <w:ind w:left="0" w:leftChars="0" w:right="0" w:rightChars="0"/>
        <w:jc w:val="left"/>
        <w:textAlignment w:val="center"/>
        <w:rPr>
          <w:rFonts w:hint="eastAsia" w:ascii="方正楷体_GBK" w:hAnsi="方正楷体_GBK" w:eastAsia="方正楷体_GBK" w:cs="方正楷体_GBK"/>
          <w:sz w:val="16"/>
          <w:szCs w:val="16"/>
          <w:lang w:val="en-US" w:eastAsia="zh-CN" w:bidi="zh-CN"/>
        </w:rPr>
      </w:pPr>
    </w:p>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15</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电梯、客运索道、大型游乐设施的运营使用单位应当设置安全管理机构或配备专职的安全管理人员</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电梯、客运索道、大型游乐设施的运营使用单位未设置安全管理机构或配备专职的安全管理人员。</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电梯、客运索道、大型游乐设施等为公众提供服务的特种设备的运营使用单位，应当对特种设备的使用安全负责，设置特种设备安全管理机构或者配备专职的特种设备安全管理人员；其他特种设备使用单位，应当根据情况设置特种设备安全管理机构或者配备专职、兼职的特种设备安全管理人员。</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第八十七条第（一）项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违反本法规定，电梯、客运索道、大型游乐设施的运营使用单位有下列情形之一的，责令限期改正；逾期未改正的，责令停止使用有关特种设备或者停产停业整顿，处二万元以上十万元以下罚款：</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（一）未设置特种设备安全管理机构或者配备专职的特种设备安全管理人员的；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电梯、客运索道、大型游乐设施等为公众提供服务的特种设备使用单位应当按照《特种设备使用管理规则》设置安全管理机构或配备专职的安全管理人员。</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4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16</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特种设备安全管理人员、作业人员应当取得相应的特种设备作业人员许可</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使用未取得相应资格的人员从事特种设备安全管理、检测和作业的。</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叉车操作人员无证上岗。</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特种设备安全管理人员、检测人员和作业人员应当按照国家有关规定取得相应资格，方可从事相关工作。特种设备安全管理人员、检测人员和作业人员应当严格执行安全技术规范和管理制度，保证特种设备安全。</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第八十六条第（二）项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违反本法规定，特种设备生产、经营、使用单位有下列情形之一的，责令限期改正；逾期未改正的，责令停止使用有关特种设备或者停产停业整顿，处一万元以上五万元以下罚款：</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（二）使用未取得相应资格的人员从事特种设备安全管理、检测和作业的；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特种设备安全管理人员、检测人员和作业人员应当按照国家有关规定取得相应特种设备作业人员资格，方可从事相关工作。特种设备安全管理人员、检测人员和作业人员应当严格执行安全技术规范和管理制度，保证特种设备安全。</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特种设备作业人员作业种类与项目及申请特种设备作业人员证书的具体程序详见《特种设备作业人员考核规则》（</w:t>
            </w:r>
            <w:r>
              <w:rPr>
                <w:rFonts w:hint="default" w:ascii="Times New Roman" w:hAnsi="Times New Roman" w:eastAsia="方正楷体_GBK" w:cs="Times New Roman"/>
                <w:sz w:val="16"/>
                <w:szCs w:val="16"/>
                <w:lang w:val="en-US"/>
              </w:rPr>
              <w:t>TSG Z6001-2019）</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也可以向当地市场监督管理部门进行咨询。</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3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17</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特种设备生产、经营、使用单位应当按规定配备特种设备安全管理人员、检测人员、作业人员，并对其进行必要的安全教育和技能培训</w:t>
            </w:r>
          </w:p>
        </w:tc>
        <w:tc>
          <w:tcPr>
            <w:tcW w:w="2326"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1.未配备具有相应资格的特种设备安全管理人员、检测人员和作业人员</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2.未对特种设备安全管理人员、检测人员和作业人员，进行必要的安全教育和技能培训。</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第十三条第二款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特种设备生产、经营、使用单位应当按照国家有关规定配备特种设备安全管理人员、检测人员和作业人员，并对其进行必要的安全教育和技能培训。</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违反本法规定，特种设备生产、经营、使用单位有下列情形之一的，责令限期改正；逾期未改正的，责令停止使用有关特种设备或者停产停业整顿，处一万元以上五万元以下罚款：</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（一）未配备具有相应资格的特种设备安全管理人员、检测人员和作业人员的；</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（三）未对特种设备安全管理人员、检测人员和作业人员进行安全教育和技能培训的。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1.特种设备生产、经营、使用单位应当按照国家规定配备相应的特种设备安全管理人员，明确管理部门和责任人员，制定有效的管理制度、操作规程并遵照执行。</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2.特种设备生产、经营、使用单位应当按照安全技术规范的要求配备检测人员和作业人员，检测和作业人员不但要满足数量要求，同时应满足对检测和作业人员持证种类和技术能力的要求。</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3.要定期对上述人员进行必要的安全教育和技能培训，并保存好培训记录。</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rPr>
          <w:rFonts w:hint="eastAsia" w:ascii="方正楷体_GBK" w:hAnsi="方正楷体_GBK" w:eastAsia="方正楷体_GBK" w:cs="方正楷体_GBK"/>
          <w:sz w:val="16"/>
          <w:szCs w:val="16"/>
          <w:lang w:val="en-US" w:eastAsia="zh-CN" w:bidi="zh-CN"/>
        </w:rPr>
      </w:pPr>
      <w:r>
        <w:rPr>
          <w:rFonts w:hint="eastAsia" w:ascii="方正楷体_GBK" w:hAnsi="方正楷体_GBK" w:eastAsia="方正楷体_GBK" w:cs="方正楷体_GBK"/>
          <w:sz w:val="16"/>
          <w:szCs w:val="16"/>
          <w:lang w:val="en-US" w:eastAsia="zh-CN" w:bidi="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94" w:hRule="atLeast"/>
        </w:trPr>
        <w:tc>
          <w:tcPr>
            <w:tcW w:w="653" w:type="dxa"/>
            <w:vAlign w:val="center"/>
          </w:tcPr>
          <w:p>
            <w:pPr>
              <w:pStyle w:val="18"/>
              <w:spacing w:line="240" w:lineRule="auto"/>
              <w:ind w:firstLine="0"/>
              <w:jc w:val="center"/>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18</w:t>
            </w:r>
          </w:p>
        </w:tc>
        <w:tc>
          <w:tcPr>
            <w:tcW w:w="1354" w:type="dxa"/>
            <w:tcMar>
              <w:top w:w="57"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电梯维护保养单位应当获得相应许可，并按照安全技术规范的要求进行电梯维护保养</w:t>
            </w:r>
          </w:p>
        </w:tc>
        <w:tc>
          <w:tcPr>
            <w:tcW w:w="2326" w:type="dxa"/>
            <w:tcMar>
              <w:top w:w="57" w:type="dxa"/>
              <w:left w:w="57" w:type="dxa"/>
              <w:bottom w:w="0"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.未经许可，擅自从事电梯维护保养；</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.电梯的维护保养单位未按照规定以及安全技术规范的要求，进行电梯维护保养。</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如，电梯维保单位维保资质及维保人员资质未满足要求；没有有效的维保合同；维保周期不符合规定；没有维保记录；维保记录未经安全管理人员签字确认。</w:t>
            </w:r>
          </w:p>
        </w:tc>
        <w:tc>
          <w:tcPr>
            <w:tcW w:w="5526" w:type="dxa"/>
            <w:tcMar>
              <w:top w:w="57"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电梯的维护保养应当由电梯制造单位或者依照本法取得许可的安装、改造、修理单位进行。</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电梯的维护保养单位应当在维护保养中严格执行安全技术规范的要求，保证其维护保养的电梯的安全性能，并负责落实现场安全防护措施，保证施工安全。</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违反本法规定，未经许可，擅自从事电梯维护保养的，责令停止违法行为，处一万元以上十万元以下罚款；有违法所得的，没收违法所得。</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电梯的维护保养单位未按照本法规定以及安全技术规范的要求，进行电梯维护保养的，依照前款规定处罚。</w:t>
            </w:r>
          </w:p>
        </w:tc>
        <w:tc>
          <w:tcPr>
            <w:tcW w:w="750" w:type="dxa"/>
            <w:tcMar>
              <w:top w:w="57" w:type="dxa"/>
              <w:left w:w="57" w:type="dxa"/>
              <w:bottom w:w="0"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0"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电梯的维护保养单位应按照特种设备安全法律法规以及《电梯维护保养规则》（</w:t>
            </w:r>
            <w:r>
              <w:rPr>
                <w:rFonts w:hint="default" w:ascii="Times New Roman" w:hAnsi="Times New Roman" w:eastAsia="方正楷体_GBK" w:cs="Times New Roman"/>
                <w:sz w:val="16"/>
                <w:szCs w:val="16"/>
                <w:lang w:val="en-US"/>
              </w:rPr>
              <w:t>TSG T5002-2017）</w:t>
            </w:r>
            <w:r>
              <w:rPr>
                <w:rFonts w:hint="default" w:ascii="Times New Roman" w:hAnsi="Times New Roman" w:eastAsia="方正楷体_GBK" w:cs="Times New Roman"/>
                <w:sz w:val="16"/>
                <w:szCs w:val="16"/>
              </w:rPr>
              <w:t>的要求，进行电梯维护保养，确保单位和人员的资质满足法定要求，并按期维护做好维保记录。</w:t>
            </w:r>
          </w:p>
        </w:tc>
        <w:tc>
          <w:tcPr>
            <w:tcW w:w="1117" w:type="dxa"/>
            <w:tcMar>
              <w:top w:w="57" w:type="dxa"/>
              <w:left w:w="57" w:type="dxa"/>
              <w:bottom w:w="0"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0" w:hRule="atLeast"/>
        </w:trPr>
        <w:tc>
          <w:tcPr>
            <w:tcW w:w="653" w:type="dxa"/>
            <w:vAlign w:val="center"/>
          </w:tcPr>
          <w:p>
            <w:pPr>
              <w:pStyle w:val="18"/>
              <w:spacing w:line="240" w:lineRule="auto"/>
              <w:ind w:firstLine="0"/>
              <w:jc w:val="center"/>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19</w:t>
            </w:r>
          </w:p>
        </w:tc>
        <w:tc>
          <w:tcPr>
            <w:tcW w:w="1354" w:type="dxa"/>
            <w:tcMar>
              <w:top w:w="57"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特种设备使用单位在特种设备出现故障或异常时，应当全面检查，消除事故隐患</w:t>
            </w:r>
          </w:p>
        </w:tc>
        <w:tc>
          <w:tcPr>
            <w:tcW w:w="2326" w:type="dxa"/>
            <w:tcMar>
              <w:top w:w="57" w:type="dxa"/>
              <w:left w:w="57" w:type="dxa"/>
              <w:bottom w:w="0"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特种设备出现故障或异常时，应当全面检查，消除事故隐患，未全面检查，消除事故隐患。</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出现电梯门防夹保护装置失效、自动扶梯和自动人行道入口处急停开关无效、锅炉压力未在允许范围内、快开门式压力容器安全联锁装置失效等情况时，使用单位未全面检查，消除事故隐患。</w:t>
            </w:r>
          </w:p>
        </w:tc>
        <w:tc>
          <w:tcPr>
            <w:tcW w:w="5526" w:type="dxa"/>
            <w:tcMar>
              <w:top w:w="57"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特种设备出现故障或者发生异常情况，特种设备使用单位应当对其进行全面检查，消除事故隐患，方可继续使用。</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第八十四条第（二）项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违反本法规定，特种设备使用单位有下列行为之一的，责令停止使用有关特种设备，处三万元以上三十万元以下罚款</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（二）特种设备出现故障或者发生异常情况，未对其进行全面检查、消除事故隐患，继续使用的</w:t>
            </w:r>
            <w:r>
              <w:rPr>
                <w:rFonts w:hint="eastAsia" w:ascii="Times New Roman" w:hAnsi="Times New Roman" w:eastAsia="方正楷体_GBK" w:cs="Times New Roman"/>
                <w:sz w:val="16"/>
                <w:szCs w:val="16"/>
                <w:lang w:eastAsia="zh-CN"/>
              </w:rPr>
              <w:t>；</w:t>
            </w:r>
          </w:p>
        </w:tc>
        <w:tc>
          <w:tcPr>
            <w:tcW w:w="750" w:type="dxa"/>
            <w:tcMar>
              <w:top w:w="57" w:type="dxa"/>
              <w:left w:w="57" w:type="dxa"/>
              <w:bottom w:w="0"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0"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特种设备出现故障或者发生异常情况，特种设备使用单位应当对其进行全面检查，消除事故隐患，方可继续使用。</w:t>
            </w:r>
          </w:p>
        </w:tc>
        <w:tc>
          <w:tcPr>
            <w:tcW w:w="1117" w:type="dxa"/>
            <w:tcMar>
              <w:top w:w="57" w:type="dxa"/>
              <w:left w:w="57" w:type="dxa"/>
              <w:bottom w:w="0"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45" w:hRule="atLeast"/>
        </w:trPr>
        <w:tc>
          <w:tcPr>
            <w:tcW w:w="653" w:type="dxa"/>
            <w:vAlign w:val="center"/>
          </w:tcPr>
          <w:p>
            <w:pPr>
              <w:pStyle w:val="18"/>
              <w:spacing w:line="240" w:lineRule="auto"/>
              <w:ind w:firstLine="0"/>
              <w:jc w:val="center"/>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20</w:t>
            </w:r>
          </w:p>
        </w:tc>
        <w:tc>
          <w:tcPr>
            <w:tcW w:w="1354" w:type="dxa"/>
            <w:tcMar>
              <w:top w:w="57"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特种设备使用单位应当制定特种设备事故应急专项预案</w:t>
            </w:r>
          </w:p>
        </w:tc>
        <w:tc>
          <w:tcPr>
            <w:tcW w:w="2326" w:type="dxa"/>
            <w:tcMar>
              <w:top w:w="57" w:type="dxa"/>
              <w:left w:w="57" w:type="dxa"/>
              <w:bottom w:w="0" w:type="dxa"/>
              <w:right w:w="57" w:type="dxa"/>
            </w:tcMar>
            <w:vAlign w:val="center"/>
          </w:tcPr>
          <w:p>
            <w:pPr>
              <w:pStyle w:val="16"/>
              <w:bidi w:val="0"/>
              <w:spacing w:line="240" w:lineRule="auto"/>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特种设备使用单位未制定特种设备事故应急专项预案</w:t>
            </w:r>
            <w:r>
              <w:rPr>
                <w:rFonts w:hint="eastAsia" w:ascii="Times New Roman" w:hAnsi="Times New Roman" w:eastAsia="方正楷体_GBK" w:cs="Times New Roman"/>
                <w:sz w:val="16"/>
                <w:szCs w:val="16"/>
                <w:lang w:eastAsia="zh-CN"/>
              </w:rPr>
              <w:t>。</w:t>
            </w:r>
          </w:p>
        </w:tc>
        <w:tc>
          <w:tcPr>
            <w:tcW w:w="5526" w:type="dxa"/>
            <w:tcMar>
              <w:top w:w="57"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第六十九条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第三款特种设备使用单位应当制定特种设备事故应急专项预案，并定期进行应急演练。</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第八十三条第（六）项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违反本法规定，特种设备使用单位有下列行为之一的，责令限期改正；逾期未改正的，责令停止使用有关特种设备，处一万元以上十万元以下罚款：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（六）未制定特种设备事故应急专项预案的。</w:t>
            </w:r>
          </w:p>
        </w:tc>
        <w:tc>
          <w:tcPr>
            <w:tcW w:w="750" w:type="dxa"/>
            <w:tcMar>
              <w:top w:w="57" w:type="dxa"/>
              <w:left w:w="57" w:type="dxa"/>
              <w:bottom w:w="0"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0"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特种设备使用单位应当制定特种设备事故应急专项预案，并定期进行应急演练。</w:t>
            </w:r>
          </w:p>
        </w:tc>
        <w:tc>
          <w:tcPr>
            <w:tcW w:w="1117" w:type="dxa"/>
            <w:tcMar>
              <w:top w:w="57" w:type="dxa"/>
              <w:left w:w="57" w:type="dxa"/>
              <w:bottom w:w="0"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91" w:hRule="atLeast"/>
        </w:trPr>
        <w:tc>
          <w:tcPr>
            <w:tcW w:w="653" w:type="dxa"/>
            <w:vAlign w:val="center"/>
          </w:tcPr>
          <w:p>
            <w:pPr>
              <w:pStyle w:val="18"/>
              <w:spacing w:line="240" w:lineRule="auto"/>
              <w:ind w:firstLine="0"/>
              <w:jc w:val="center"/>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21</w:t>
            </w:r>
          </w:p>
        </w:tc>
        <w:tc>
          <w:tcPr>
            <w:tcW w:w="1354" w:type="dxa"/>
            <w:tcMar>
              <w:top w:w="57"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移动式压力容器、气瓶充装单位从事充装活动必须取得相应许可</w:t>
            </w:r>
          </w:p>
        </w:tc>
        <w:tc>
          <w:tcPr>
            <w:tcW w:w="2326" w:type="dxa"/>
            <w:tcMar>
              <w:top w:w="57" w:type="dxa"/>
              <w:left w:w="57" w:type="dxa"/>
              <w:bottom w:w="0"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充装单位（或个人）不具备相应条件，未经许可或者在许可范围外从事充装活动。</w:t>
            </w:r>
          </w:p>
        </w:tc>
        <w:tc>
          <w:tcPr>
            <w:tcW w:w="5526" w:type="dxa"/>
            <w:tcMar>
              <w:top w:w="57"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第一款移动式压力容器、气瓶充装单位，应当具备下列条件，并经负责特种设备安全监督管理的部门许可，方可从事充装活动：</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（一）有与充装和管理相适应的管理人员和技术人员；</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（二）有与充装和管理相适应的充装设备、检测手段、场地厂房、器具、安全设施；</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（三）有健全的充装管理制度、责任制度、处理措施。</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第八十五条第二款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违反本法规定，未经许可，擅自从事移动式压力容器或者气瓶充装活动的，予以取缔，没收违法充装的气瓶，处十万元以上五十万元以下罚款；有违法所得的，没收违法所得。</w:t>
            </w:r>
          </w:p>
        </w:tc>
        <w:tc>
          <w:tcPr>
            <w:tcW w:w="750" w:type="dxa"/>
            <w:tcMar>
              <w:top w:w="57" w:type="dxa"/>
              <w:left w:w="57" w:type="dxa"/>
              <w:bottom w:w="0"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0"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.移动式压力容器、气瓶充装单位应当向所在地省级市场监管部门申请充装许可，取得相应的充装许可证后，方可从事充装活动。</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.行政许可申请的条件和程序详见《特种设备生产和充装单位许可规则》</w:t>
            </w:r>
            <w:r>
              <w:rPr>
                <w:rFonts w:hint="default" w:ascii="Times New Roman" w:hAnsi="Times New Roman" w:eastAsia="方正楷体_GBK" w:cs="Times New Roman"/>
                <w:sz w:val="16"/>
                <w:szCs w:val="16"/>
                <w:lang w:val="en-US"/>
              </w:rPr>
              <w:t>（TSG07-2019）</w:t>
            </w:r>
            <w:r>
              <w:rPr>
                <w:rFonts w:hint="default" w:ascii="Times New Roman" w:hAnsi="Times New Roman" w:eastAsia="方正楷体_GBK" w:cs="Times New Roman"/>
                <w:sz w:val="16"/>
                <w:szCs w:val="16"/>
              </w:rPr>
              <w:t>也可咨询当地市场监督部门。</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.充装人员应当取得特种设备作业人员证书。不得使用未获证人员从事相关工作。</w:t>
            </w:r>
          </w:p>
        </w:tc>
        <w:tc>
          <w:tcPr>
            <w:tcW w:w="1117" w:type="dxa"/>
            <w:tcMar>
              <w:top w:w="57" w:type="dxa"/>
              <w:left w:w="57" w:type="dxa"/>
              <w:bottom w:w="0"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26"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22</w:t>
            </w:r>
          </w:p>
        </w:tc>
        <w:tc>
          <w:tcPr>
            <w:tcW w:w="1354" w:type="dxa"/>
            <w:tcMar>
              <w:top w:w="57" w:type="dxa"/>
              <w:left w:w="57" w:type="dxa"/>
              <w:bottom w:w="57" w:type="dxa"/>
              <w:right w:w="57" w:type="dxa"/>
            </w:tcMar>
            <w:vAlign w:val="center"/>
          </w:tcPr>
          <w:p>
            <w:pPr>
              <w:pStyle w:val="18"/>
              <w:spacing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移动式压力容器、气瓶充装单位应当建立充装前后的检查、记录制度</w:t>
            </w:r>
          </w:p>
        </w:tc>
        <w:tc>
          <w:tcPr>
            <w:tcW w:w="2326" w:type="dxa"/>
            <w:tcMar>
              <w:top w:w="57" w:type="dxa"/>
              <w:left w:w="57" w:type="dxa"/>
              <w:bottom w:w="57" w:type="dxa"/>
              <w:right w:w="57" w:type="dxa"/>
            </w:tcMar>
            <w:vAlign w:val="center"/>
          </w:tcPr>
          <w:p>
            <w:pPr>
              <w:pStyle w:val="18"/>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充装单位未按照规定实施充装前后的检查、记录制度。</w:t>
            </w:r>
          </w:p>
        </w:tc>
        <w:tc>
          <w:tcPr>
            <w:tcW w:w="5526" w:type="dxa"/>
            <w:tcMar>
              <w:top w:w="57" w:type="dxa"/>
              <w:left w:w="57" w:type="dxa"/>
              <w:bottom w:w="57" w:type="dxa"/>
              <w:right w:w="57" w:type="dxa"/>
            </w:tcMar>
            <w:vAlign w:val="center"/>
          </w:tcPr>
          <w:p>
            <w:pPr>
              <w:pStyle w:val="18"/>
              <w:spacing w:line="240" w:lineRule="auto"/>
              <w:ind w:firstLine="0"/>
              <w:jc w:val="both"/>
              <w:rPr>
                <w:rFonts w:hint="default" w:ascii="Times New Roman" w:hAnsi="Times New Roman" w:eastAsia="方正楷体_GBK" w:cs="Times New Roman"/>
              </w:rPr>
            </w:pPr>
            <w:r>
              <w:rPr>
                <w:rFonts w:hint="default" w:ascii="Times New Roman" w:hAnsi="Times New Roman" w:eastAsia="方正楷体_GBK" w:cs="Times New Roman"/>
              </w:rPr>
              <w:t>【法律】《中华人民共和国特种设备安全法》</w:t>
            </w:r>
          </w:p>
          <w:p>
            <w:pPr>
              <w:pStyle w:val="18"/>
              <w:spacing w:line="240" w:lineRule="auto"/>
              <w:ind w:firstLine="320" w:firstLineChars="200"/>
              <w:jc w:val="both"/>
              <w:rPr>
                <w:rFonts w:hint="default" w:ascii="Times New Roman" w:hAnsi="Times New Roman" w:eastAsia="方正楷体_GBK" w:cs="Times New Roman"/>
              </w:rPr>
            </w:pPr>
            <w:r>
              <w:rPr>
                <w:rFonts w:hint="default" w:ascii="Times New Roman" w:hAnsi="Times New Roman" w:eastAsia="方正楷体_GBK" w:cs="Times New Roman"/>
              </w:rPr>
              <w:t>第八十五条</w:t>
            </w:r>
            <w:r>
              <w:rPr>
                <w:rFonts w:hint="eastAsia" w:ascii="Times New Roman" w:hAnsi="Times New Roman" w:eastAsia="方正楷体_GBK" w:cs="Times New Roman"/>
                <w:lang w:val="en-US" w:eastAsia="zh-CN"/>
              </w:rPr>
              <w:t xml:space="preserve">第一款第（一）项  </w:t>
            </w:r>
            <w:r>
              <w:rPr>
                <w:rFonts w:hint="default" w:ascii="Times New Roman" w:hAnsi="Times New Roman" w:eastAsia="方正楷体_GBK" w:cs="Times New Roman"/>
              </w:rPr>
              <w:t>违反本法规定，移动式压力容器、气瓶充装单位有下列行为之一的，责令改正，处二万元以上二十万元以下罚款；情节严重的，吊销充装许可证：</w:t>
            </w:r>
          </w:p>
          <w:p>
            <w:pPr>
              <w:pStyle w:val="18"/>
              <w:spacing w:line="240" w:lineRule="auto"/>
              <w:ind w:firstLine="320" w:firstLineChars="200"/>
              <w:jc w:val="both"/>
              <w:rPr>
                <w:rFonts w:hint="default" w:ascii="Times New Roman" w:hAnsi="Times New Roman" w:eastAsia="方正楷体_GBK" w:cs="Times New Roman"/>
                <w:lang w:val="zh-CN" w:eastAsia="zh-CN"/>
              </w:rPr>
            </w:pPr>
            <w:r>
              <w:rPr>
                <w:rFonts w:hint="default" w:ascii="Times New Roman" w:hAnsi="Times New Roman" w:eastAsia="方正楷体_GBK" w:cs="Times New Roman"/>
              </w:rPr>
              <w:t>（一）未按照规定实施充装前后的检查、记录制度的；</w:t>
            </w:r>
          </w:p>
        </w:tc>
        <w:tc>
          <w:tcPr>
            <w:tcW w:w="750"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w:t>
            </w:r>
          </w:p>
        </w:tc>
        <w:tc>
          <w:tcPr>
            <w:tcW w:w="2631" w:type="dxa"/>
            <w:tcMar>
              <w:top w:w="57" w:type="dxa"/>
              <w:left w:w="57" w:type="dxa"/>
              <w:bottom w:w="57" w:type="dxa"/>
              <w:right w:w="57" w:type="dxa"/>
            </w:tcMar>
            <w:vAlign w:val="center"/>
          </w:tcPr>
          <w:p>
            <w:pPr>
              <w:pStyle w:val="18"/>
              <w:spacing w:line="240" w:lineRule="auto"/>
              <w:ind w:left="0" w:leftChars="0" w:firstLine="320" w:firstLineChars="200"/>
              <w:jc w:val="both"/>
              <w:rPr>
                <w:rFonts w:hint="default" w:ascii="Times New Roman" w:hAnsi="Times New Roman" w:eastAsia="方正楷体_GBK" w:cs="Times New Roman"/>
              </w:rPr>
            </w:pPr>
            <w:r>
              <w:rPr>
                <w:rFonts w:hint="default" w:ascii="Times New Roman" w:hAnsi="Times New Roman" w:eastAsia="方正楷体_GBK" w:cs="Times New Roman"/>
              </w:rPr>
              <w:t>1.移动式压力容器、气瓶充装单位应当有健全的充装管理制度、责任制度及事故应急预案定期演练、事故处理上报、质量信息处理反馈等处理措施。</w:t>
            </w:r>
          </w:p>
          <w:p>
            <w:pPr>
              <w:pStyle w:val="18"/>
              <w:spacing w:line="240" w:lineRule="auto"/>
              <w:ind w:left="0" w:lef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2.充装单位应制定严格的充装作业操作规程，对充装的压力容器、气瓶逐只进行充装前后检查，并进行记录，以消除错装、混装、超装等造成的安全隐患，避免充装设备失效引发的安全风险。</w:t>
            </w:r>
          </w:p>
        </w:tc>
        <w:tc>
          <w:tcPr>
            <w:tcW w:w="1117"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特种设备安全监察科</w:t>
            </w:r>
            <w:r>
              <w:rPr>
                <w:rFonts w:hint="default" w:ascii="Times New Roman" w:hAnsi="Times New Roman" w:eastAsia="方正楷体_GBK" w:cs="Times New Roman"/>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8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23</w:t>
            </w:r>
          </w:p>
        </w:tc>
        <w:tc>
          <w:tcPr>
            <w:tcW w:w="1354" w:type="dxa"/>
            <w:tcMar>
              <w:top w:w="57" w:type="dxa"/>
              <w:left w:w="57" w:type="dxa"/>
              <w:bottom w:w="57" w:type="dxa"/>
              <w:right w:w="57" w:type="dxa"/>
            </w:tcMar>
            <w:vAlign w:val="center"/>
          </w:tcPr>
          <w:p>
            <w:pPr>
              <w:pStyle w:val="18"/>
              <w:spacing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移动式压力容器、气瓶充装单位应按照安全技术规范的要求进行充装活动的，禁止对不符合安全技术规范要求的移动式压力容器和气瓶进行充装</w:t>
            </w:r>
          </w:p>
        </w:tc>
        <w:tc>
          <w:tcPr>
            <w:tcW w:w="2326" w:type="dxa"/>
            <w:tcMar>
              <w:top w:w="57" w:type="dxa"/>
              <w:left w:w="57" w:type="dxa"/>
              <w:bottom w:w="57" w:type="dxa"/>
              <w:right w:w="57" w:type="dxa"/>
            </w:tcMar>
            <w:vAlign w:val="center"/>
          </w:tcPr>
          <w:p>
            <w:pPr>
              <w:pStyle w:val="18"/>
              <w:numPr>
                <w:ilvl w:val="0"/>
                <w:numId w:val="0"/>
              </w:numPr>
              <w:tabs>
                <w:tab w:val="left" w:pos="408"/>
              </w:tabs>
              <w:spacing w:line="240" w:lineRule="auto"/>
              <w:ind w:right="0" w:rightChars="0" w:firstLine="320" w:firstLineChars="200"/>
              <w:jc w:val="both"/>
              <w:rPr>
                <w:rFonts w:hint="eastAsia" w:ascii="Times New Roman" w:hAnsi="Times New Roman" w:eastAsia="方正楷体_GBK" w:cs="Times New Roman"/>
                <w:lang w:eastAsia="zh-CN"/>
              </w:rPr>
            </w:pPr>
            <w:r>
              <w:rPr>
                <w:rFonts w:hint="eastAsia" w:ascii="Times New Roman" w:hAnsi="Times New Roman" w:eastAsia="方正楷体_GBK" w:cs="Times New Roman"/>
                <w:lang w:val="en-US" w:eastAsia="zh-CN"/>
              </w:rPr>
              <w:t>1.</w:t>
            </w:r>
            <w:r>
              <w:rPr>
                <w:rFonts w:hint="default" w:ascii="Times New Roman" w:hAnsi="Times New Roman" w:eastAsia="方正楷体_GBK" w:cs="Times New Roman"/>
              </w:rPr>
              <w:t>移动式压力容器、气瓶充装单位未按照安全技术规范的要求进行充装活动的</w:t>
            </w:r>
            <w:r>
              <w:rPr>
                <w:rFonts w:hint="eastAsia" w:ascii="Times New Roman" w:hAnsi="Times New Roman" w:eastAsia="方正楷体_GBK" w:cs="Times New Roman"/>
                <w:lang w:eastAsia="zh-CN"/>
              </w:rPr>
              <w:t>；</w:t>
            </w:r>
          </w:p>
          <w:p>
            <w:pPr>
              <w:pStyle w:val="18"/>
              <w:numPr>
                <w:ilvl w:val="0"/>
                <w:numId w:val="0"/>
              </w:numPr>
              <w:tabs>
                <w:tab w:val="left" w:pos="408"/>
              </w:tabs>
              <w:spacing w:line="240" w:lineRule="auto"/>
              <w:ind w:right="0" w:rightChars="0" w:firstLine="320" w:firstLineChars="200"/>
              <w:jc w:val="both"/>
              <w:rPr>
                <w:rFonts w:hint="default" w:ascii="Times New Roman" w:hAnsi="Times New Roman" w:eastAsia="方正楷体_GBK" w:cs="Times New Roman"/>
                <w:sz w:val="16"/>
                <w:szCs w:val="16"/>
                <w:lang w:val="zh-CN" w:eastAsia="zh-CN" w:bidi="zh-CN"/>
              </w:rPr>
            </w:pPr>
            <w:r>
              <w:rPr>
                <w:rFonts w:hint="eastAsia" w:ascii="Times New Roman" w:hAnsi="Times New Roman" w:eastAsia="方正楷体_GBK" w:cs="Times New Roman"/>
                <w:lang w:val="en-US" w:eastAsia="zh-CN"/>
              </w:rPr>
              <w:t>2.</w:t>
            </w:r>
            <w:r>
              <w:rPr>
                <w:rFonts w:hint="default" w:ascii="Times New Roman" w:hAnsi="Times New Roman" w:eastAsia="方正楷体_GBK" w:cs="Times New Roman"/>
              </w:rPr>
              <w:t>对不符合安全技术规范要求的移动式压力容器和气瓶进行充装，如充装过期气瓶。</w:t>
            </w:r>
          </w:p>
        </w:tc>
        <w:tc>
          <w:tcPr>
            <w:tcW w:w="5526" w:type="dxa"/>
            <w:tcMar>
              <w:top w:w="57" w:type="dxa"/>
              <w:left w:w="57" w:type="dxa"/>
              <w:bottom w:w="57" w:type="dxa"/>
              <w:right w:w="57" w:type="dxa"/>
            </w:tcMar>
            <w:vAlign w:val="center"/>
          </w:tcPr>
          <w:p>
            <w:pPr>
              <w:pStyle w:val="18"/>
              <w:spacing w:line="240" w:lineRule="auto"/>
              <w:ind w:firstLine="0"/>
              <w:jc w:val="both"/>
              <w:rPr>
                <w:rFonts w:hint="default" w:ascii="Times New Roman" w:hAnsi="Times New Roman" w:eastAsia="方正楷体_GBK" w:cs="Times New Roman"/>
              </w:rPr>
            </w:pPr>
            <w:r>
              <w:rPr>
                <w:rFonts w:hint="default" w:ascii="Times New Roman" w:hAnsi="Times New Roman" w:eastAsia="方正楷体_GBK" w:cs="Times New Roman"/>
              </w:rPr>
              <w:t>【法律】《中华人民共和国特种设备安全法》</w:t>
            </w:r>
          </w:p>
          <w:p>
            <w:pPr>
              <w:pStyle w:val="18"/>
              <w:spacing w:line="240" w:lineRule="auto"/>
              <w:ind w:firstLine="320" w:firstLineChars="200"/>
              <w:jc w:val="both"/>
              <w:rPr>
                <w:rFonts w:hint="default" w:ascii="Times New Roman" w:hAnsi="Times New Roman" w:eastAsia="方正楷体_GBK" w:cs="Times New Roman"/>
              </w:rPr>
            </w:pPr>
            <w:r>
              <w:rPr>
                <w:rFonts w:hint="default" w:ascii="Times New Roman" w:hAnsi="Times New Roman" w:eastAsia="方正楷体_GBK" w:cs="Times New Roman"/>
              </w:rPr>
              <w:t>第四十九条第二款</w:t>
            </w:r>
            <w:r>
              <w:rPr>
                <w:rFonts w:hint="eastAsia" w:ascii="Times New Roman" w:hAnsi="Times New Roman" w:eastAsia="方正楷体_GBK" w:cs="Times New Roman"/>
                <w:lang w:val="en-US" w:eastAsia="zh-CN"/>
              </w:rPr>
              <w:t xml:space="preserve">  </w:t>
            </w:r>
            <w:r>
              <w:rPr>
                <w:rFonts w:hint="default" w:ascii="Times New Roman" w:hAnsi="Times New Roman" w:eastAsia="方正楷体_GBK" w:cs="Times New Roman"/>
              </w:rPr>
              <w:t>充装单位应当建立充装前后的检查、记录制度，禁止对不符合安全技术规范要求的移动式压力容器和气瓶进行充装。</w:t>
            </w:r>
          </w:p>
          <w:p>
            <w:pPr>
              <w:pStyle w:val="18"/>
              <w:spacing w:line="240" w:lineRule="auto"/>
              <w:ind w:firstLine="320" w:firstLineChars="200"/>
              <w:jc w:val="both"/>
              <w:rPr>
                <w:rFonts w:hint="default" w:ascii="Times New Roman" w:hAnsi="Times New Roman" w:eastAsia="方正楷体_GBK" w:cs="Times New Roman"/>
              </w:rPr>
            </w:pPr>
            <w:r>
              <w:rPr>
                <w:rFonts w:hint="default" w:ascii="Times New Roman" w:hAnsi="Times New Roman" w:eastAsia="方正楷体_GBK" w:cs="Times New Roman"/>
              </w:rPr>
              <w:t>第八十五条</w:t>
            </w:r>
            <w:r>
              <w:rPr>
                <w:rFonts w:hint="eastAsia" w:ascii="Times New Roman" w:hAnsi="Times New Roman" w:eastAsia="方正楷体_GBK" w:cs="Times New Roman"/>
                <w:lang w:val="en-US" w:eastAsia="zh-CN"/>
              </w:rPr>
              <w:t xml:space="preserve">第一款第（二）项  </w:t>
            </w:r>
            <w:r>
              <w:rPr>
                <w:rFonts w:hint="default" w:ascii="Times New Roman" w:hAnsi="Times New Roman" w:eastAsia="方正楷体_GBK" w:cs="Times New Roman"/>
              </w:rPr>
              <w:t>违反本法规定，移动式压力容器、气瓶充装单位有下列行为之一的，责令改正，处二万元以上二十万元以下罚款；情节严重的，吊销充装许可证：</w:t>
            </w:r>
          </w:p>
          <w:p>
            <w:pPr>
              <w:pStyle w:val="18"/>
              <w:spacing w:line="240" w:lineRule="auto"/>
              <w:ind w:firstLine="320" w:firstLineChars="200"/>
              <w:jc w:val="both"/>
              <w:rPr>
                <w:rFonts w:hint="default" w:ascii="Times New Roman" w:hAnsi="Times New Roman" w:eastAsia="方正楷体_GBK" w:cs="Times New Roman"/>
              </w:rPr>
            </w:pPr>
            <w:r>
              <w:rPr>
                <w:rFonts w:hint="default" w:ascii="Times New Roman" w:hAnsi="Times New Roman" w:eastAsia="方正楷体_GBK" w:cs="Times New Roman"/>
              </w:rPr>
              <w:t>（二）对不符合安全技术规范要求的移动式压力容器和气瓶进行充装的。</w:t>
            </w:r>
          </w:p>
          <w:p>
            <w:pPr>
              <w:pStyle w:val="18"/>
              <w:spacing w:line="240" w:lineRule="auto"/>
              <w:ind w:firstLine="0"/>
              <w:jc w:val="both"/>
              <w:rPr>
                <w:rFonts w:hint="eastAsia" w:ascii="Times New Roman" w:hAnsi="Times New Roman" w:eastAsia="方正楷体_GBK" w:cs="Times New Roman"/>
                <w:lang w:eastAsia="zh-CN"/>
              </w:rPr>
            </w:pPr>
            <w:r>
              <w:rPr>
                <w:rFonts w:hint="default" w:ascii="Times New Roman" w:hAnsi="Times New Roman" w:eastAsia="方正楷体_GBK" w:cs="Times New Roman"/>
              </w:rPr>
              <w:t>【行政法规】《特种设备安全监察条例》</w:t>
            </w:r>
            <w:r>
              <w:rPr>
                <w:rFonts w:hint="eastAsia" w:ascii="Times New Roman" w:hAnsi="Times New Roman" w:eastAsia="方正楷体_GBK" w:cs="Times New Roman"/>
                <w:lang w:eastAsia="zh-CN"/>
              </w:rPr>
              <w:t>（</w:t>
            </w:r>
            <w:r>
              <w:rPr>
                <w:rFonts w:hint="eastAsia" w:ascii="Times New Roman" w:hAnsi="Times New Roman" w:eastAsia="方正楷体_GBK" w:cs="Times New Roman"/>
                <w:lang w:val="en-US" w:eastAsia="zh-CN"/>
              </w:rPr>
              <w:t>2009修订</w:t>
            </w:r>
            <w:r>
              <w:rPr>
                <w:rFonts w:hint="eastAsia" w:ascii="Times New Roman" w:hAnsi="Times New Roman" w:eastAsia="方正楷体_GBK" w:cs="Times New Roman"/>
                <w:lang w:eastAsia="zh-CN"/>
              </w:rPr>
              <w:t>）</w:t>
            </w:r>
          </w:p>
          <w:p>
            <w:pPr>
              <w:pStyle w:val="18"/>
              <w:spacing w:line="240" w:lineRule="auto"/>
              <w:ind w:firstLine="320" w:firstLineChars="200"/>
              <w:jc w:val="both"/>
              <w:rPr>
                <w:rFonts w:hint="default" w:ascii="Times New Roman" w:hAnsi="Times New Roman" w:eastAsia="方正楷体_GBK" w:cs="Times New Roman"/>
                <w:lang w:val="zh-CN" w:eastAsia="zh-CN"/>
              </w:rPr>
            </w:pPr>
            <w:r>
              <w:rPr>
                <w:rFonts w:hint="default" w:ascii="Times New Roman" w:hAnsi="Times New Roman" w:eastAsia="方正楷体_GBK" w:cs="Times New Roman"/>
              </w:rPr>
              <w:t>第八十条第二款</w:t>
            </w:r>
            <w:r>
              <w:rPr>
                <w:rFonts w:hint="eastAsia" w:ascii="Times New Roman" w:hAnsi="Times New Roman" w:eastAsia="方正楷体_GBK" w:cs="Times New Roman"/>
                <w:lang w:val="en-US" w:eastAsia="zh-CN"/>
              </w:rPr>
              <w:t xml:space="preserve">  </w:t>
            </w:r>
            <w:r>
              <w:rPr>
                <w:rFonts w:hint="default" w:ascii="Times New Roman" w:hAnsi="Times New Roman" w:eastAsia="方正楷体_GBK" w:cs="Times New Roman"/>
              </w:rPr>
              <w:t>移动式压力容器</w:t>
            </w:r>
            <w:r>
              <w:rPr>
                <w:rFonts w:hint="eastAsia" w:ascii="Times New Roman" w:hAnsi="Times New Roman" w:eastAsia="方正楷体_GBK" w:cs="Times New Roman"/>
                <w:lang w:eastAsia="zh-CN"/>
              </w:rPr>
              <w:t>、</w:t>
            </w:r>
            <w:r>
              <w:rPr>
                <w:rFonts w:hint="default" w:ascii="Times New Roman" w:hAnsi="Times New Roman" w:eastAsia="方正楷体_GBK" w:cs="Times New Roman"/>
              </w:rPr>
              <w:t>气瓶充装单位未按照安全技术规范的要求进行充装活动的，由特种设备安全监督管理部门责令改正，处2万元以上10万元以下罚款；情节严重的，撤销其充装资格。</w:t>
            </w:r>
          </w:p>
        </w:tc>
        <w:tc>
          <w:tcPr>
            <w:tcW w:w="750"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w:t>
            </w:r>
          </w:p>
        </w:tc>
        <w:tc>
          <w:tcPr>
            <w:tcW w:w="2631" w:type="dxa"/>
            <w:tcMar>
              <w:top w:w="57" w:type="dxa"/>
              <w:left w:w="57" w:type="dxa"/>
              <w:bottom w:w="57" w:type="dxa"/>
              <w:right w:w="57" w:type="dxa"/>
            </w:tcMar>
            <w:vAlign w:val="center"/>
          </w:tcPr>
          <w:p>
            <w:pPr>
              <w:pStyle w:val="18"/>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充装单位应当按照安全技术规范的要求进行充装活动。不得有充装过期瓶、报废瓶，或使用移动式压力容器对气瓶进行直接充装等违法行为。</w:t>
            </w:r>
          </w:p>
        </w:tc>
        <w:tc>
          <w:tcPr>
            <w:tcW w:w="1117"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特种设备安全监察科</w:t>
            </w:r>
            <w:r>
              <w:rPr>
                <w:rFonts w:hint="default" w:ascii="Times New Roman" w:hAnsi="Times New Roman" w:eastAsia="方正楷体_GBK" w:cs="Times New Roman"/>
                <w:lang w:val="en-US" w:eastAsia="zh-CN"/>
              </w:rPr>
              <w:t>81170077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06"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24</w:t>
            </w:r>
          </w:p>
        </w:tc>
        <w:tc>
          <w:tcPr>
            <w:tcW w:w="1354" w:type="dxa"/>
            <w:tcMar>
              <w:top w:w="57" w:type="dxa"/>
              <w:left w:w="57" w:type="dxa"/>
              <w:bottom w:w="57" w:type="dxa"/>
              <w:right w:w="57" w:type="dxa"/>
            </w:tcMar>
            <w:vAlign w:val="center"/>
          </w:tcPr>
          <w:p>
            <w:pPr>
              <w:pStyle w:val="18"/>
              <w:spacing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特种设备生产、经营、使用单位应当配合监督检查，并不得擅自动用、调换、转移、损毁被查封、扣押的特种设备或其主要部件</w:t>
            </w:r>
          </w:p>
        </w:tc>
        <w:tc>
          <w:tcPr>
            <w:tcW w:w="2326" w:type="dxa"/>
            <w:tcMar>
              <w:top w:w="57" w:type="dxa"/>
              <w:left w:w="57" w:type="dxa"/>
              <w:bottom w:w="57" w:type="dxa"/>
              <w:right w:w="57" w:type="dxa"/>
            </w:tcMar>
            <w:vAlign w:val="center"/>
          </w:tcPr>
          <w:p>
            <w:pPr>
              <w:pStyle w:val="18"/>
              <w:spacing w:line="240" w:lineRule="auto"/>
              <w:ind w:left="0" w:leftChars="0" w:firstLine="320" w:firstLineChars="200"/>
              <w:jc w:val="both"/>
              <w:rPr>
                <w:rFonts w:hint="default" w:ascii="Times New Roman" w:hAnsi="Times New Roman" w:eastAsia="方正楷体_GBK" w:cs="Times New Roman"/>
              </w:rPr>
            </w:pPr>
            <w:r>
              <w:rPr>
                <w:rFonts w:hint="default" w:ascii="Times New Roman" w:hAnsi="Times New Roman" w:eastAsia="方正楷体_GBK" w:cs="Times New Roman"/>
              </w:rPr>
              <w:t>1.特种设备生产、经营、使用单位拒不接受监管部门依法实施的监督检查；</w:t>
            </w:r>
          </w:p>
          <w:p>
            <w:pPr>
              <w:pStyle w:val="18"/>
              <w:spacing w:line="240" w:lineRule="auto"/>
              <w:ind w:left="0" w:lef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2.特种设备生产、经营、使用单位的特种设备或其主要部件被查封、扣押后，生产、经营、使用单位擅自动用、调换、转移、损毁被查封、扣押的标的物。</w:t>
            </w:r>
          </w:p>
        </w:tc>
        <w:tc>
          <w:tcPr>
            <w:tcW w:w="5526" w:type="dxa"/>
            <w:tcMar>
              <w:top w:w="57" w:type="dxa"/>
              <w:left w:w="57" w:type="dxa"/>
              <w:bottom w:w="57" w:type="dxa"/>
              <w:right w:w="57" w:type="dxa"/>
            </w:tcMar>
            <w:vAlign w:val="center"/>
          </w:tcPr>
          <w:p>
            <w:pPr>
              <w:pStyle w:val="18"/>
              <w:spacing w:line="240" w:lineRule="auto"/>
              <w:ind w:firstLine="0"/>
              <w:jc w:val="both"/>
              <w:rPr>
                <w:rFonts w:hint="default" w:ascii="Times New Roman" w:hAnsi="Times New Roman" w:eastAsia="方正楷体_GBK" w:cs="Times New Roman"/>
              </w:rPr>
            </w:pPr>
            <w:r>
              <w:rPr>
                <w:rFonts w:hint="default" w:ascii="Times New Roman" w:hAnsi="Times New Roman" w:eastAsia="方正楷体_GBK" w:cs="Times New Roman"/>
              </w:rPr>
              <w:t>【法律】《中华人民共和国特种设备安全法》</w:t>
            </w:r>
          </w:p>
          <w:p>
            <w:pPr>
              <w:pStyle w:val="18"/>
              <w:spacing w:line="240" w:lineRule="auto"/>
              <w:ind w:firstLine="320" w:firstLineChars="200"/>
              <w:jc w:val="both"/>
              <w:rPr>
                <w:rFonts w:hint="default" w:ascii="Times New Roman" w:hAnsi="Times New Roman" w:eastAsia="方正楷体_GBK" w:cs="Times New Roman"/>
              </w:rPr>
            </w:pPr>
            <w:r>
              <w:rPr>
                <w:rFonts w:hint="default" w:ascii="Times New Roman" w:hAnsi="Times New Roman" w:eastAsia="方正楷体_GBK" w:cs="Times New Roman"/>
              </w:rPr>
              <w:t>第九十五条</w:t>
            </w:r>
            <w:r>
              <w:rPr>
                <w:rFonts w:hint="eastAsia" w:ascii="Times New Roman" w:hAnsi="Times New Roman" w:eastAsia="方正楷体_GBK" w:cs="Times New Roman"/>
                <w:lang w:val="en-US" w:eastAsia="zh-CN"/>
              </w:rPr>
              <w:t xml:space="preserve">  </w:t>
            </w:r>
            <w:r>
              <w:rPr>
                <w:rFonts w:hint="default" w:ascii="Times New Roman" w:hAnsi="Times New Roman" w:eastAsia="方正楷体_GBK" w:cs="Times New Roman"/>
              </w:rPr>
              <w:t>违反本法规定，特种设备生产、经营、使用单位或者检验、检测机构拒不接受负责特种设备安全监督管理的部门依法实施的监督检查的，责令限期改正；逾期未改正的，责令停产停业整顿，处二万元以上二十万元以下罚款。</w:t>
            </w:r>
          </w:p>
          <w:p>
            <w:pPr>
              <w:pStyle w:val="18"/>
              <w:spacing w:line="240" w:lineRule="auto"/>
              <w:ind w:firstLine="320" w:firstLineChars="200"/>
              <w:jc w:val="both"/>
              <w:rPr>
                <w:rFonts w:hint="default" w:ascii="Times New Roman" w:hAnsi="Times New Roman" w:eastAsia="方正楷体_GBK" w:cs="Times New Roman"/>
                <w:lang w:val="zh-CN" w:eastAsia="zh-CN"/>
              </w:rPr>
            </w:pPr>
            <w:r>
              <w:rPr>
                <w:rFonts w:hint="default" w:ascii="Times New Roman" w:hAnsi="Times New Roman" w:eastAsia="方正楷体_GBK" w:cs="Times New Roman"/>
              </w:rPr>
              <w:t>特种设备生产、经营、使用单位擅自动用、调换、转移、损毁被查封、扣押的特种设备或者其主要部件的，责令改正，处五万元以上二十万元以下罚款；情节严重的，吊销生产许可证，注销特种设备使用登记证书。</w:t>
            </w:r>
          </w:p>
        </w:tc>
        <w:tc>
          <w:tcPr>
            <w:tcW w:w="750"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w:t>
            </w:r>
          </w:p>
        </w:tc>
        <w:tc>
          <w:tcPr>
            <w:tcW w:w="2631" w:type="dxa"/>
            <w:tcMar>
              <w:top w:w="57" w:type="dxa"/>
              <w:left w:w="57" w:type="dxa"/>
              <w:bottom w:w="57" w:type="dxa"/>
              <w:right w:w="57" w:type="dxa"/>
            </w:tcMar>
            <w:vAlign w:val="center"/>
          </w:tcPr>
          <w:p>
            <w:pPr>
              <w:pStyle w:val="18"/>
              <w:spacing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特种设备生产、经营、使用单位应当积极配合监管部门依法实施的监督检查。出现违法行为后，应当积极整改。如特种设备或其主要部件被查封、扣押，不得擅自动用、调换、转移、损毁。</w:t>
            </w:r>
          </w:p>
        </w:tc>
        <w:tc>
          <w:tcPr>
            <w:tcW w:w="1117" w:type="dxa"/>
            <w:tcMar>
              <w:top w:w="57" w:type="dxa"/>
              <w:left w:w="57" w:type="dxa"/>
              <w:bottom w:w="57"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特种设备安全监察科</w:t>
            </w:r>
            <w:r>
              <w:rPr>
                <w:rFonts w:hint="default" w:ascii="Times New Roman" w:hAnsi="Times New Roman" w:eastAsia="方正楷体_GBK" w:cs="Times New Roman"/>
                <w:lang w:val="en-US" w:eastAsia="zh-CN"/>
              </w:rPr>
              <w:t>81170077</w:t>
            </w:r>
          </w:p>
        </w:tc>
      </w:tr>
    </w:tbl>
    <w:p>
      <w:pPr>
        <w:pStyle w:val="18"/>
        <w:spacing w:line="240" w:lineRule="auto"/>
        <w:ind w:firstLine="0"/>
        <w:jc w:val="both"/>
        <w:rPr>
          <w:rFonts w:hint="eastAsia" w:ascii="Times New Roman" w:hAnsi="Times New Roman" w:eastAsia="方正楷体_GBK" w:cs="Times New Roman"/>
          <w:lang w:val="en-US" w:eastAsia="zh-CN"/>
        </w:rPr>
      </w:pPr>
    </w:p>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57" w:hRule="atLeast"/>
        </w:trPr>
        <w:tc>
          <w:tcPr>
            <w:tcW w:w="653" w:type="dxa"/>
            <w:vAlign w:val="center"/>
          </w:tcPr>
          <w:p>
            <w:pPr>
              <w:pStyle w:val="16"/>
              <w:spacing w:before="1"/>
              <w:ind w:left="104" w:leftChars="0" w:right="87" w:rightChars="0"/>
              <w:jc w:val="center"/>
              <w:rPr>
                <w:rFonts w:hint="default" w:ascii="黑体" w:eastAsia="黑体"/>
                <w:b/>
                <w:sz w:val="20"/>
                <w:lang w:val="en-US" w:eastAsia="zh-CN"/>
              </w:rPr>
            </w:pPr>
            <w:r>
              <w:rPr>
                <w:rFonts w:hint="default" w:ascii="Times New Roman" w:hAnsi="Times New Roman" w:eastAsia="黑体" w:cs="Times New Roman"/>
                <w:b w:val="0"/>
                <w:bCs/>
                <w:sz w:val="16"/>
                <w:szCs w:val="16"/>
                <w:lang w:val="en-US" w:eastAsia="zh-CN"/>
              </w:rPr>
              <w:t>25</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特种设备检验、检测机构应当获得特种设备安全监管部门的资质核准，检验、检测人员应当取得相应资格许可</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.检验、检测机构核准证书超期；</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.超核准范围进行检测检验；</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.相关人员未取得检验、检测人员资格，从事检验、检测工作。</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【法律】《中华人民共和国特种设备安全法》</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第五十条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从事本法规定的监督检验、定期检验的特种设备检验机构，以及为特种设备生产、经营、使用提供检测服务的特种设备检测机构，应当具备下列条件，并经负责特种设备安全监督管理的部门核准，方可从事检验、检测工作：</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（一）有与检验、检测工作相适应的检验、检测人员</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（二）有与检验、检测工作相适应的检验、检测仪器和设备</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（三）有健全的检验、检测管理制度和责任制度。</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第五十一条第一款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特种设备检验、检测机构的检验、检测人员应当经考核，取得检验、检测人员资格，方可从事检验、检测工作。</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第九十三条</w:t>
            </w:r>
            <w:r>
              <w:rPr>
                <w:rFonts w:hint="eastAsia" w:ascii="Times New Roman" w:hAnsi="Times New Roman" w:eastAsia="方正楷体_GBK" w:cs="Times New Roman"/>
                <w:sz w:val="16"/>
                <w:szCs w:val="16"/>
                <w:lang w:val="en-US" w:eastAsia="zh-CN"/>
              </w:rPr>
              <w:t xml:space="preserve">第一款第（一）项  </w:t>
            </w:r>
            <w:r>
              <w:rPr>
                <w:rFonts w:hint="default" w:ascii="Times New Roman" w:hAnsi="Times New Roman" w:eastAsia="方正楷体_GBK" w:cs="Times New Roman"/>
                <w:sz w:val="16"/>
                <w:szCs w:val="16"/>
              </w:rPr>
              <w:t>违反本法规定，特种设备检验、检测机构及其检验、检测人员有下列行为之一的，责令改正，对机构处五万元以上二十万元以下罚款，对直接负责的主管人员和其他直接责任人员处五千元以上五万元以下罚款；情节严重的，吊销机构资质和有关人员的资格：</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一</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未经核准或者超出核准范围、使用未取得相应资格的人员从事检验、检测的。</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rPr>
              <w:t>【行政法规】《特种设备安全监察条例》</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2009修订</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第八十二条</w:t>
            </w:r>
            <w:r>
              <w:rPr>
                <w:rFonts w:hint="eastAsia" w:ascii="Times New Roman" w:hAnsi="Times New Roman" w:eastAsia="方正楷体_GBK" w:cs="Times New Roman"/>
                <w:sz w:val="16"/>
                <w:szCs w:val="16"/>
                <w:lang w:val="en-US" w:eastAsia="zh-CN"/>
              </w:rPr>
              <w:t xml:space="preserve">第（二）项  </w:t>
            </w:r>
            <w:r>
              <w:rPr>
                <w:rFonts w:hint="default" w:ascii="Times New Roman" w:hAnsi="Times New Roman" w:eastAsia="方正楷体_GBK" w:cs="Times New Roman"/>
                <w:sz w:val="16"/>
                <w:szCs w:val="16"/>
              </w:rPr>
              <w:t>已经取得许可</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核准的特种设备生产单位</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检验检测机构有下列行为之一的，由特种设备安全监督管理部门责令改正，处2万元以上10 万元以下罚款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情节严重的，撤销其相应资格</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（二）不再符合本条例规定或者安全技术规范要求的条件，继续从事特种设备生产、检验检测的。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.特种设备检验检测机构应严格按照核准范围进行检测检验，到期前按要求及时换证。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.相关检验、检测人员应当经考核，取得检验、检测人员资格，方可从事检验、检测工作。</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特种设备安全监察科</w:t>
            </w:r>
            <w:r>
              <w:rPr>
                <w:rFonts w:hint="default" w:ascii="Times New Roman" w:hAnsi="Times New Roman" w:eastAsia="方正楷体_GBK" w:cs="Times New Roman"/>
                <w:sz w:val="16"/>
                <w:szCs w:val="16"/>
                <w:lang w:val="en-US" w:eastAsia="zh-CN"/>
              </w:rPr>
              <w:t>81170077</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pStyle w:val="18"/>
        <w:spacing w:line="240" w:lineRule="auto"/>
        <w:ind w:firstLine="0"/>
        <w:jc w:val="both"/>
        <w:rPr>
          <w:rFonts w:hint="eastAsia" w:ascii="Times New Roman" w:hAnsi="Times New Roman" w:eastAsia="方正楷体_GBK" w:cs="Times New Roman"/>
          <w:lang w:val="en-US" w:eastAsia="zh-CN"/>
        </w:rPr>
      </w:pPr>
    </w:p>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bookmarkStart w:id="10" w:name="bookmark17"/>
      <w:r>
        <w:rPr>
          <w:rFonts w:hint="eastAsia" w:ascii="楷体" w:eastAsia="楷体"/>
          <w:sz w:val="28"/>
          <w:szCs w:val="28"/>
          <w:lang w:val="en-US" w:eastAsia="zh-CN"/>
        </w:rPr>
        <w:t>适用于食品经营单位：</w:t>
      </w:r>
      <w:bookmarkEnd w:id="10"/>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75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食品经营者应当依法取得食品经营许可后方可从事经营活动</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.未取得食品经营许可从事食品经营活动；</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.食品经营时间超过许可证载明的有效期限；</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.食品经营许可证载明的经营范围等许可事项已发生变化，食品经营者未在发生变化后10个工作日内申请变更；</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.行政许可申请人隐瞒真实情况、提供虚假材料，或以欺骗、贿赂等不正当手段取得食品经营许可；</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5</w:t>
            </w:r>
            <w:r>
              <w:rPr>
                <w:rFonts w:hint="default" w:ascii="Times New Roman" w:hAnsi="Times New Roman" w:eastAsia="方正楷体_GBK" w:cs="Times New Roman"/>
                <w:sz w:val="16"/>
                <w:szCs w:val="16"/>
              </w:rPr>
              <w:t>.伪造涂改、倒卖、出租、出借、转让食品经营许可证。</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国家对食品生产经营实行许可制度</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从事食品生产、食品销售、餐饮服务，应当依法取得许可。但是，销售食用农产品和仅销售预包装食品的，不需要取得许可。仅销售预包装食品的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应当报所在地县级以上地方人民政府食品安全监督管理部门备案。</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第一百二十二条第一款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未取得食品生产经营许可从事食品生产经营活动</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或者未取得食品添加剂生产许可从事食品添加剂生产活动的</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由县级以上人民政府食品安全监督管理部门没收违法所得和违法生产经营的食品、食品添加剂以及用于违法生产经营的工具、设备、原料等物品</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违法生产经营的食品、食品添加剂货值金额不足一万元的，并处五万元以上十万元以下罚款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货值金额一万元以上的，并处货值金额十倍以上二十倍以下罚款。</w:t>
            </w:r>
          </w:p>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【部门规章】《食品经营许可和备案管理办法》（</w:t>
            </w:r>
            <w:r>
              <w:rPr>
                <w:rFonts w:hint="eastAsia" w:ascii="Times New Roman" w:hAnsi="Times New Roman" w:eastAsia="方正楷体_GBK" w:cs="Times New Roman"/>
                <w:sz w:val="16"/>
                <w:szCs w:val="16"/>
                <w:lang w:val="en-US" w:eastAsia="zh-CN"/>
              </w:rPr>
              <w:t>2023.12.01施行</w:t>
            </w:r>
            <w:r>
              <w:rPr>
                <w:rFonts w:hint="default" w:ascii="Times New Roman" w:hAnsi="Times New Roman" w:eastAsia="方正楷体_GBK" w:cs="Times New Roman"/>
                <w:sz w:val="16"/>
                <w:szCs w:val="16"/>
              </w:rPr>
              <w:t>）</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申请人应当如实向县级以上地方市场监督管理部门提交有关材料并反映真实情况，对申请材料的真实性负责，并在申请书等材料上签名或者盖章。符合法律规定的可靠电子签名、电子印章与手写签名或者盖章具有同等法律效力。</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食品经营者应当妥善保管食品经营许可证，不得伪造、涂改、倒卖、出租、出借、转让。</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食品经营者应当在经营场所的显著位置悬挂、摆放纸质食品经营许可证正本或者展示其电子证书。</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利用自动设备从事食品经营的，应当在自动设备的显著位置展示食品经营者的联系方式、食品经营许可证复印件或者电子证书、备案编号。</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第二十九条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食品经营许可证载明的事项发生变化的，食品经营者应当在变化后十个工作日内向原发证</w:t>
            </w:r>
            <w:r>
              <w:rPr>
                <w:rFonts w:hint="default" w:ascii="Times New Roman" w:hAnsi="Times New Roman" w:eastAsia="方正楷体_GBK" w:cs="Times New Roman"/>
                <w:sz w:val="16"/>
                <w:szCs w:val="16"/>
                <w:highlight w:val="none"/>
              </w:rPr>
              <w:t>的</w:t>
            </w:r>
            <w:r>
              <w:rPr>
                <w:rFonts w:hint="default" w:ascii="Times New Roman" w:hAnsi="Times New Roman" w:eastAsia="方正楷体_GBK" w:cs="Times New Roman"/>
                <w:sz w:val="16"/>
                <w:szCs w:val="16"/>
              </w:rPr>
              <w:t>市场监督管理部门申请变更食品经营许可。食品经营者地址迁移，不在原许可经营场所从事食品经营活动的，应当重新申请食品经营许可。</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发生下列情形的，食品经营者应当在变化后十个工作日内向原发证</w:t>
            </w:r>
            <w:r>
              <w:rPr>
                <w:rFonts w:hint="default" w:ascii="Times New Roman" w:hAnsi="Times New Roman" w:eastAsia="方正楷体_GBK" w:cs="Times New Roman"/>
                <w:sz w:val="16"/>
                <w:szCs w:val="16"/>
                <w:highlight w:val="none"/>
              </w:rPr>
              <w:t>的</w:t>
            </w:r>
            <w:r>
              <w:rPr>
                <w:rFonts w:hint="default" w:ascii="Times New Roman" w:hAnsi="Times New Roman" w:eastAsia="方正楷体_GBK" w:cs="Times New Roman"/>
                <w:sz w:val="16"/>
                <w:szCs w:val="16"/>
              </w:rPr>
              <w:t>市场监督管理部门报告：</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（一）食品经营者的主要设备设施、经营布局、操作流程等发生较大变化，可能影响食品安全的；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（二）从事网络经营情况发生变化的；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（三）外设仓库（包括自有和租赁）地址发生变化的；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（四）集体用餐配送单位向学校、托幼机构供餐情况发生变化的；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（五）自动设备放置地点、数量发生变化的；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（六）增加预包装食品销售的。</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符合前款第一项、第五项情形的，县级以上地方市场监督管理部门应当在收到食品经营者的报告后三十个工作日内对其实施监督检查，重点检查食品经营实际情况与报告内容是否相符、食品经营条件是否符合食品安全要求等。</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食品经营者需要延续依法取得的食品经营许可有效期的，应当在该食品经营许可有效期届满前九十个工作日至十五个工作日期间，向原发证</w:t>
            </w:r>
            <w:r>
              <w:rPr>
                <w:rFonts w:hint="default" w:ascii="Times New Roman" w:hAnsi="Times New Roman" w:eastAsia="方正楷体_GBK" w:cs="Times New Roman"/>
                <w:sz w:val="16"/>
                <w:szCs w:val="16"/>
                <w:highlight w:val="none"/>
              </w:rPr>
              <w:t>的</w:t>
            </w:r>
            <w:r>
              <w:rPr>
                <w:rFonts w:hint="default" w:ascii="Times New Roman" w:hAnsi="Times New Roman" w:eastAsia="方正楷体_GBK" w:cs="Times New Roman"/>
                <w:sz w:val="16"/>
                <w:szCs w:val="16"/>
              </w:rPr>
              <w:t>市场监督管理部门提出申请。</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县级以上地方市场监督管理部门应当根据被许可人的延续申请，在该食品经营许可有效期届满前作出是否准予延续的决定。</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在食品经营许可有效期届满前十五个工作日内提出延续许可申请的，原食品经营许可有效期届满后，食品经营者应当暂停食品经营活动，原发证</w:t>
            </w:r>
            <w:r>
              <w:rPr>
                <w:rFonts w:hint="default" w:ascii="Times New Roman" w:hAnsi="Times New Roman" w:eastAsia="方正楷体_GBK" w:cs="Times New Roman"/>
                <w:sz w:val="16"/>
                <w:szCs w:val="16"/>
                <w:highlight w:val="none"/>
              </w:rPr>
              <w:t>的</w:t>
            </w:r>
            <w:r>
              <w:rPr>
                <w:rFonts w:hint="default" w:ascii="Times New Roman" w:hAnsi="Times New Roman" w:eastAsia="方正楷体_GBK" w:cs="Times New Roman"/>
                <w:sz w:val="16"/>
                <w:szCs w:val="16"/>
              </w:rPr>
              <w:t>市场监督管理部门作出准予延续的决定后，方可继续开展食品经营活动。</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第五十三条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许可申请人隐瞒真实情况或者提供虚假材料申请食品经营许可的，由县级以上地方市场监督管理部门给予警告。申请人在一年内不得再次申请食品经营许可。</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第五十四条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被许可人以欺骗、贿赂等不正当手段取得食品经营许可的，由原发证</w:t>
            </w:r>
            <w:r>
              <w:rPr>
                <w:rFonts w:hint="default" w:ascii="Times New Roman" w:hAnsi="Times New Roman" w:eastAsia="方正楷体_GBK" w:cs="Times New Roman"/>
                <w:sz w:val="16"/>
                <w:szCs w:val="16"/>
                <w:highlight w:val="none"/>
              </w:rPr>
              <w:t>的</w:t>
            </w:r>
            <w:r>
              <w:rPr>
                <w:rFonts w:hint="default" w:ascii="Times New Roman" w:hAnsi="Times New Roman" w:eastAsia="方正楷体_GBK" w:cs="Times New Roman"/>
                <w:sz w:val="16"/>
                <w:szCs w:val="16"/>
              </w:rPr>
              <w:t>市场监督管理部门撤销许可，处一万元以上三万元以下罚款；造成危害后果的，处三万元以上二十万元以下罚款。被许可人在三年内不得再次申请食品经营许可。</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第五十七条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办法第二十八条第一款规定的，由县级以上地方市场监督管理部门责令改正，给予警告，并处一万元以上三万元以下罚款；情节严重的，处三万元以上十万元以下罚款；造成危害后果的，处十万元以上二十万元以下罚款。</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违反本办法第二十八条第二款、第三款规定的，由县级以上地方市场监督管理部门责令限期改正；逾期不改的，给予警告。</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第五十八条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办法第三十条第一款第一项规定的，由县级以上地方市场监督管理部门责令限期改正；逾期不改的，处两千元以上一万元以下罚款；情节严重的，处一万元以上五万元以下罚款；造成危害后果的，处五万元以上二十万元以下罚款。</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rPr>
              <w:t>违反本办法第三十条第一款第二项至第六项规定的，由县级以上地方市场监督管理部门责令限期改正；逾期不改的，处一千元以上一万元以下罚款。</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.从事食品经营活动，应当依法申请取得食品经营许可证，不得伪造、涂改、倒卖、出租、出借、转让许可证。销售食用农产品、食品添加剂，不需要取得食品经营许可证。</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.不得超出许可经营项目开展销售活动。许可事项发生变化的，应当在变化后10 个工作日内向原发证</w:t>
            </w:r>
            <w:r>
              <w:rPr>
                <w:rFonts w:hint="default" w:ascii="Times New Roman" w:hAnsi="Times New Roman" w:eastAsia="方正楷体_GBK" w:cs="Times New Roman"/>
                <w:sz w:val="16"/>
                <w:szCs w:val="16"/>
                <w:highlight w:val="none"/>
              </w:rPr>
              <w:t>的</w:t>
            </w:r>
            <w:r>
              <w:rPr>
                <w:rFonts w:hint="default" w:ascii="Times New Roman" w:hAnsi="Times New Roman" w:eastAsia="方正楷体_GBK" w:cs="Times New Roman"/>
                <w:sz w:val="16"/>
                <w:szCs w:val="16"/>
              </w:rPr>
              <w:t>市场监管部门申请变更经营许可。经营场所发生变化的，应当重新申请经营许可。</w:t>
            </w:r>
          </w:p>
          <w:p>
            <w:pPr>
              <w:pStyle w:val="16"/>
              <w:bidi w:val="0"/>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.应当在许可有效期（5年）内开展经营活动。有效期届满30 个工作日前，应当向原发证</w:t>
            </w:r>
            <w:r>
              <w:rPr>
                <w:rFonts w:hint="default" w:ascii="Times New Roman" w:hAnsi="Times New Roman" w:eastAsia="方正楷体_GBK" w:cs="Times New Roman"/>
                <w:sz w:val="16"/>
                <w:szCs w:val="16"/>
                <w:highlight w:val="none"/>
              </w:rPr>
              <w:t>的</w:t>
            </w:r>
            <w:r>
              <w:rPr>
                <w:rFonts w:hint="default" w:ascii="Times New Roman" w:hAnsi="Times New Roman" w:eastAsia="方正楷体_GBK" w:cs="Times New Roman"/>
                <w:sz w:val="16"/>
                <w:szCs w:val="16"/>
              </w:rPr>
              <w:t>市场监管部门提出延续申请。</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.按照许可证载明的经营场所、主体业态、经营项目开展销售活动。利用自动售货设备从事销售活动的，设备放置地点应当与许可申请材料中标明的地点一致。</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pStyle w:val="18"/>
        <w:spacing w:line="240" w:lineRule="auto"/>
        <w:ind w:firstLine="0"/>
        <w:jc w:val="both"/>
        <w:rPr>
          <w:rFonts w:hint="eastAsia" w:ascii="Times New Roman" w:hAnsi="Times New Roman" w:eastAsia="方正楷体_GBK" w:cs="Times New Roman"/>
          <w:lang w:val="en-US" w:eastAsia="zh-CN"/>
        </w:rPr>
      </w:pPr>
    </w:p>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4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应当在经营场所公示食品经营许可证、量化等级和日常监督检查结果记录表等信息</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.食品经营者未按规定在经营场所的显著位置悬挂或摆放食品经营许可证正本</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.撕毁、涂改日常监督检查结果记录表；</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.未保持日常监督检查结果记录表至下次日常监督检查。</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【部门规章】《食品经营许可和备案管理办法》（</w:t>
            </w:r>
            <w:r>
              <w:rPr>
                <w:rFonts w:hint="default" w:ascii="Times New Roman" w:hAnsi="Times New Roman" w:eastAsia="方正楷体_GBK" w:cs="Times New Roman"/>
                <w:sz w:val="16"/>
                <w:szCs w:val="16"/>
                <w:lang w:val="en-US" w:eastAsia="zh-CN"/>
              </w:rPr>
              <w:t>2023.12.01施行</w:t>
            </w:r>
            <w:r>
              <w:rPr>
                <w:rFonts w:hint="default" w:ascii="Times New Roman" w:hAnsi="Times New Roman" w:eastAsia="方正楷体_GBK" w:cs="Times New Roman"/>
                <w:sz w:val="16"/>
                <w:szCs w:val="16"/>
              </w:rPr>
              <w:t>）</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 xml:space="preserve">第二十八条第二款  </w:t>
            </w:r>
            <w:r>
              <w:rPr>
                <w:rFonts w:hint="default" w:ascii="Times New Roman" w:hAnsi="Times New Roman" w:eastAsia="方正楷体_GBK" w:cs="Times New Roman"/>
                <w:sz w:val="16"/>
                <w:szCs w:val="16"/>
              </w:rPr>
              <w:t>食品经营者应当在经营场所的显著位置悬挂、摆放纸质食品经营许可证正本或者展示其电子证书。</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lang w:val="en-US" w:eastAsia="zh-CN"/>
              </w:rPr>
              <w:t>第二十八条第</w:t>
            </w: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利用自动设备从事食品经营的，应当在自动设备的显著位置展示食品经营者的联系方式、食品经营许可证复印件或者电子证书、备案编号。</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 xml:space="preserve">第五十七条第二款  </w:t>
            </w:r>
            <w:r>
              <w:rPr>
                <w:rFonts w:hint="default" w:ascii="Times New Roman" w:hAnsi="Times New Roman" w:eastAsia="方正楷体_GBK" w:cs="Times New Roman"/>
                <w:sz w:val="16"/>
                <w:szCs w:val="16"/>
              </w:rPr>
              <w:t>违反本办法第二十八条第二款、第三款规定的，由县级以上地方市场监督管理部门责令限期改正；逾期不改的，给予警告。</w:t>
            </w:r>
          </w:p>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【部门规章】《食品生产经营监督检查管理办法》</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市场监督管理部门应当于检查结果信息形成后20个工作日内向社会公开。</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检查结果对消费者有重要影响的，食品生产经营者应当按照规定在食品生产经营场所醒目位置张贴或者公开展示监督检查结果记录表，并保持至下次监督检查。有条件的可以通过电子屏幕等信息化方式向消费者展示监督检查结果记录表。</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第四十八条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食品生产经营者未按照规定在显著位置张贴或者公开展示相关监督检查结果记录表，撕毁、涂改监督检查结果记录表</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或者未保持日常监督检查结果记录表至下次日常监督检查的，由县级以上地方市场监督管理部门责令改正；拒不改正的，给予警告，可以并处5000元以上5万元以下罚款。</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.食品经营者应当依法亮证经营，在经营场所的显著位置悬挂或者摆放食品经营许可证正本。</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.食品经营者应当妥善留存、张贴日常监督检查结果记录表并将其保持至下次日常监督检查。</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.通过第三方平台进行交易的经营者在其经营活动主页面显著位置公示；通过自建网站交易的食品销售者在其网站首页显著位置公示。公示内容应当清晰可辨。</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.利用自动售货设备从事经营活动的，应当按照相关规定和许可申请材料中标明的方式，在自动售货设备的醒目位置公示食品经营许可证等信息，在苏州市自贩机</w:t>
            </w:r>
            <w:r>
              <w:rPr>
                <w:rFonts w:hint="default" w:ascii="Times New Roman" w:hAnsi="Times New Roman" w:eastAsia="方正楷体_GBK" w:cs="Times New Roman"/>
                <w:sz w:val="16"/>
                <w:szCs w:val="16"/>
                <w:lang w:val="en-US"/>
              </w:rPr>
              <w:t>E</w:t>
            </w:r>
            <w:r>
              <w:rPr>
                <w:rFonts w:hint="default" w:ascii="Times New Roman" w:hAnsi="Times New Roman" w:eastAsia="方正楷体_GBK" w:cs="Times New Roman"/>
                <w:sz w:val="16"/>
                <w:szCs w:val="16"/>
              </w:rPr>
              <w:t>管理系统进行报告。</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不得经营用非食品原料生产的食品或者添加食品添加剂以外的化学物质和其他可能危害人体健康物质的食品，或者用回收食品作为原料生产的食品</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.经营用非食品原料生产的食品；</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.经营添加食品添加剂以外的化学物质的食品；</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.经营添加其他可能危害人体健康物质的食品；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.经营用回收食品作为原料生产的食品。</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第（一）项  </w:t>
            </w:r>
            <w:r>
              <w:rPr>
                <w:rFonts w:hint="default" w:ascii="Times New Roman" w:hAnsi="Times New Roman" w:eastAsia="方正楷体_GBK" w:cs="Times New Roman"/>
                <w:sz w:val="16"/>
                <w:szCs w:val="16"/>
              </w:rPr>
              <w:t>禁止生产经营下列食品、食品添加剂、食品相关产品：</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（一）用非食品原料生产的食品或者添加食品添加剂以外的化学物质和其他可能危害人体健康物质的食品，或者用回收食品作为原料生产的食品；</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第一百二十三条第一款</w:t>
            </w:r>
            <w:r>
              <w:rPr>
                <w:rFonts w:hint="eastAsia" w:ascii="Times New Roman" w:hAnsi="Times New Roman" w:eastAsia="方正楷体_GBK" w:cs="Times New Roman"/>
                <w:sz w:val="16"/>
                <w:szCs w:val="16"/>
                <w:lang w:val="en-US" w:eastAsia="zh-CN"/>
              </w:rPr>
              <w:t xml:space="preserve">第（一）项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（一）用非食品原料生产食品、在食品中添加食品添加剂以外的化学物质和其他可能危害人体健康的物质，或者用回收食品作为原料生产食品，或者经营上述食品；</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遵守食品经营法律法规，严守食品安全底线，强化食品安全风险意识，不经营用非食品原料生产的食品或者添加食品添加剂以外的化学物质和其他可能危害人体健康物质的食品，或者用回收食品作为原料生产的食品。</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pStyle w:val="18"/>
        <w:spacing w:line="240" w:lineRule="auto"/>
        <w:ind w:firstLine="0"/>
        <w:jc w:val="both"/>
        <w:rPr>
          <w:rFonts w:hint="eastAsia" w:ascii="Times New Roman" w:hAnsi="Times New Roman" w:eastAsia="方正楷体_GBK" w:cs="Times New Roman"/>
          <w:lang w:val="en-US" w:eastAsia="zh-CN"/>
        </w:rPr>
      </w:pPr>
    </w:p>
    <w:p>
      <w:pPr>
        <w:pStyle w:val="18"/>
        <w:spacing w:line="240" w:lineRule="auto"/>
        <w:ind w:firstLine="0"/>
        <w:jc w:val="both"/>
        <w:rPr>
          <w:rFonts w:hint="eastAsia" w:ascii="Times New Roman" w:hAnsi="Times New Roman" w:eastAsia="方正楷体_GBK" w:cs="Times New Roman"/>
          <w:lang w:val="en-US" w:eastAsia="zh-CN"/>
        </w:rPr>
      </w:pPr>
    </w:p>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2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不得经营病死、毒死或者死因不明的禽、畜、兽、水产动物肉类及其制品</w:t>
            </w:r>
          </w:p>
        </w:tc>
        <w:tc>
          <w:tcPr>
            <w:tcW w:w="2326"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经营病死、毒死或者死因不明的禽、畜、兽、水产动物肉类及其制品。</w:t>
            </w:r>
          </w:p>
        </w:tc>
        <w:tc>
          <w:tcPr>
            <w:tcW w:w="5526" w:type="dxa"/>
            <w:tcMar>
              <w:top w:w="0" w:type="dxa"/>
              <w:left w:w="57" w:type="dxa"/>
              <w:bottom w:w="0"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第（七）项  </w:t>
            </w:r>
            <w:r>
              <w:rPr>
                <w:rFonts w:hint="default" w:ascii="Times New Roman" w:hAnsi="Times New Roman" w:eastAsia="方正楷体_GBK" w:cs="Times New Roman"/>
                <w:sz w:val="16"/>
                <w:szCs w:val="16"/>
              </w:rPr>
              <w:t>禁止生产经营下列食品、食品添加剂、食品相关产品：</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（七）病死、毒死或者死因不明的禽、畜、兽、水产动物肉类及其制品；</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第一百二十三条第一款</w:t>
            </w:r>
            <w:r>
              <w:rPr>
                <w:rFonts w:hint="eastAsia" w:ascii="Times New Roman" w:hAnsi="Times New Roman" w:eastAsia="方正楷体_GBK" w:cs="Times New Roman"/>
                <w:sz w:val="16"/>
                <w:szCs w:val="16"/>
                <w:lang w:val="en-US" w:eastAsia="zh-CN"/>
              </w:rPr>
              <w:t xml:space="preserve">第（三）项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违反本法规定，有下列情形之一，尚不构成犯罪的，由县级以上人民政府食品安全监督管理部门没收违法所得和违法生产经营的食品，并可以没收用于违法生产经营的工具、设备、原料等物品</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pStyle w:val="16"/>
              <w:keepNext w:val="0"/>
              <w:keepLines w:val="0"/>
              <w:pageBreakBefore w:val="0"/>
              <w:widowControl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（三）经营病死、毒死或者死因不明的禽、畜、兽、水产动物肉类，或者生产经营其制品；</w:t>
            </w:r>
          </w:p>
        </w:tc>
        <w:tc>
          <w:tcPr>
            <w:tcW w:w="750"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食品经营者应当遵守食品经营法律法规，严守食品安全底线，强化食品安全风险意识，查验其经营禽、畜、兽、水产动物肉类及其制品</w:t>
            </w:r>
            <w:r>
              <w:rPr>
                <w:rFonts w:hint="eastAsia" w:ascii="Times New Roman" w:hAnsi="Times New Roman" w:eastAsia="方正楷体_GBK" w:cs="Times New Roman"/>
                <w:sz w:val="16"/>
                <w:szCs w:val="16"/>
                <w:highlight w:val="none"/>
                <w:lang w:eastAsia="zh-CN"/>
              </w:rPr>
              <w:t>的</w:t>
            </w:r>
            <w:r>
              <w:rPr>
                <w:rFonts w:hint="default" w:ascii="Times New Roman" w:hAnsi="Times New Roman" w:eastAsia="方正楷体_GBK" w:cs="Times New Roman"/>
                <w:sz w:val="16"/>
                <w:szCs w:val="16"/>
              </w:rPr>
              <w:t>正规来源，不得经营病死、毒死或者死因不明的禽、畜、兽、水产动物肉类及其制品。</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2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不得经营未按规定进行检疫或者检疫不合格的肉类，或者未经检验或者检验不合格的肉类制品</w:t>
            </w:r>
          </w:p>
        </w:tc>
        <w:tc>
          <w:tcPr>
            <w:tcW w:w="2326"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1.经营未按规定进行检疫或者检疫不合格的肉类；</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2.经营未经检验或者检验不合格的肉类制品。</w:t>
            </w:r>
          </w:p>
        </w:tc>
        <w:tc>
          <w:tcPr>
            <w:tcW w:w="5526"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第（八）项  </w:t>
            </w:r>
            <w:r>
              <w:rPr>
                <w:rFonts w:hint="default" w:ascii="Times New Roman" w:hAnsi="Times New Roman" w:eastAsia="方正楷体_GBK" w:cs="Times New Roman"/>
                <w:sz w:val="16"/>
                <w:szCs w:val="16"/>
              </w:rPr>
              <w:t>禁止生产经营下列食品、食品添加剂、食品相关产品：</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（八）未按规定进行检疫或者检疫不合格的肉类，或者未经检验或者检验不合格的肉类制品；</w:t>
            </w:r>
          </w:p>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第一百二十三条第一款</w:t>
            </w:r>
            <w:r>
              <w:rPr>
                <w:rFonts w:hint="eastAsia" w:ascii="Times New Roman" w:hAnsi="Times New Roman" w:eastAsia="方正楷体_GBK" w:cs="Times New Roman"/>
                <w:sz w:val="16"/>
                <w:szCs w:val="16"/>
                <w:lang w:val="en-US" w:eastAsia="zh-CN"/>
              </w:rPr>
              <w:t xml:space="preserve">第（四）项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情节严重的，吊销许可证</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并可以由公安机关对其直接负责的主管人员和其他直接责任人员处五日以上十五日以下拘留</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（四）经营未按规定进行检疫或者检疫不合格的肉类，或者生产经营未经检验或者检验不合格的肉类制品；</w:t>
            </w:r>
          </w:p>
        </w:tc>
        <w:tc>
          <w:tcPr>
            <w:tcW w:w="750"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食品经营者应当索取、查验相关的检验检疫证明，确保所经营的肉类检疫合格、肉类制品检验合格。采购猪肉索取动物检疫合格证明、肉品品种合格证明和非洲猪瘟病毒检验报告。</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7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6</w:t>
            </w:r>
          </w:p>
        </w:tc>
        <w:tc>
          <w:tcPr>
            <w:tcW w:w="1354"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不得经营国家为防病等特殊需要明令禁止生产经营的食品</w:t>
            </w:r>
          </w:p>
        </w:tc>
        <w:tc>
          <w:tcPr>
            <w:tcW w:w="2326" w:type="dxa"/>
            <w:tcMar>
              <w:top w:w="0" w:type="dxa"/>
              <w:left w:w="57" w:type="dxa"/>
              <w:bottom w:w="0"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经营国家为防病等特殊需要明令禁止生产经营的食品</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国家为防疫需要，明令禁止从疫区进口食品，但食品经营者仍从该疫区进口销售食品的。</w:t>
            </w:r>
          </w:p>
        </w:tc>
        <w:tc>
          <w:tcPr>
            <w:tcW w:w="5526" w:type="dxa"/>
            <w:tcMar>
              <w:top w:w="0" w:type="dxa"/>
              <w:left w:w="57" w:type="dxa"/>
              <w:bottom w:w="0"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第（十二）项  </w:t>
            </w:r>
            <w:r>
              <w:rPr>
                <w:rFonts w:hint="default" w:ascii="Times New Roman" w:hAnsi="Times New Roman" w:eastAsia="方正楷体_GBK" w:cs="Times New Roman"/>
                <w:sz w:val="16"/>
                <w:szCs w:val="16"/>
              </w:rPr>
              <w:t>禁止生产经营下列食品、食品添加剂、食品相关产品：</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（十二）国家为防病等特殊需要明令禁止生产经营的食品；</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第一百二十三条第一款</w:t>
            </w:r>
            <w:r>
              <w:rPr>
                <w:rFonts w:hint="eastAsia" w:ascii="Times New Roman" w:hAnsi="Times New Roman" w:eastAsia="方正楷体_GBK" w:cs="Times New Roman"/>
                <w:sz w:val="16"/>
                <w:szCs w:val="16"/>
                <w:lang w:val="en-US" w:eastAsia="zh-CN"/>
              </w:rPr>
              <w:t xml:space="preserve">第（五）项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（五）生产经营国家为防病等特殊需要明令禁止生产经营的食品；</w:t>
            </w:r>
          </w:p>
        </w:tc>
        <w:tc>
          <w:tcPr>
            <w:tcW w:w="750"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0" w:type="dxa"/>
              <w:left w:w="57" w:type="dxa"/>
              <w:bottom w:w="0"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食品经营者不得经营国家为防病等特殊需要明令禁止生产经营的食品。</w:t>
            </w:r>
          </w:p>
        </w:tc>
        <w:tc>
          <w:tcPr>
            <w:tcW w:w="1117" w:type="dxa"/>
            <w:tcMar>
              <w:top w:w="0" w:type="dxa"/>
              <w:left w:w="57" w:type="dxa"/>
              <w:bottom w:w="0"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93"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7</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生产经营的食品中不得添加药品，但是可以添加按照传统既是食品又是中药材的物质</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经营违法添加药品的食品。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经营添加醋酸泼尼松止咳平喘药品的茶类饮料。</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33"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生产经营的食品中不得添加药品，但是可以添加按照传统既是食品又是中药材的物质。按照传统既是食品又是中药材的物质目录由国务院卫生行政部门会同国务院食品安全监督管理部门制定、公布。</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第一百二十三条第一款</w:t>
            </w:r>
            <w:r>
              <w:rPr>
                <w:rFonts w:hint="eastAsia" w:ascii="Times New Roman" w:hAnsi="Times New Roman" w:eastAsia="方正楷体_GBK" w:cs="Times New Roman"/>
                <w:sz w:val="16"/>
                <w:szCs w:val="16"/>
                <w:lang w:val="en-US" w:eastAsia="zh-CN"/>
              </w:rPr>
              <w:t>第</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六</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 xml:space="preserve">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（六）生产经营添加药品的食品。</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经营者应当根据食药同源的目录对食品进行甄别，不得对食品的药用性进行宣传。</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53"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8</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不得经营有害物质超标的食品、食品添加剂、食品相关产品</w:t>
            </w:r>
          </w:p>
        </w:tc>
        <w:tc>
          <w:tcPr>
            <w:tcW w:w="2326"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经营的食品经过抽检致病性微生物，农药残留、兽药残留、生物毒素、重金属等污染物质及其他危害人体健康物质含量超过食品安全标准限量</w:t>
            </w:r>
            <w:r>
              <w:rPr>
                <w:rFonts w:hint="eastAsia" w:ascii="Times New Roman" w:hAnsi="Times New Roman" w:eastAsia="方正楷体_GBK" w:cs="Times New Roman"/>
                <w:sz w:val="16"/>
                <w:szCs w:val="16"/>
                <w:lang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对某餐饮店准备进行制作的青菜进行食品安全监督抽检，经抽样检测，阿维菌素项目不符合</w:t>
            </w:r>
            <w:r>
              <w:rPr>
                <w:rFonts w:hint="default" w:ascii="Times New Roman" w:hAnsi="Times New Roman" w:eastAsia="方正楷体_GBK" w:cs="Times New Roman"/>
                <w:sz w:val="16"/>
                <w:szCs w:val="16"/>
                <w:lang w:val="en-US"/>
              </w:rPr>
              <w:t>GB2763-2019</w:t>
            </w:r>
            <w:r>
              <w:rPr>
                <w:rFonts w:hint="default" w:ascii="Times New Roman" w:hAnsi="Times New Roman" w:eastAsia="方正楷体_GBK" w:cs="Times New Roman"/>
                <w:sz w:val="16"/>
                <w:szCs w:val="16"/>
              </w:rPr>
              <w:t>《食品安全国家标准食品中农药最大残留限量》要求，检验结论为不合格。</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33"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第（二）项  </w:t>
            </w:r>
            <w:r>
              <w:rPr>
                <w:rFonts w:hint="default" w:ascii="Times New Roman" w:hAnsi="Times New Roman" w:eastAsia="方正楷体_GBK" w:cs="Times New Roman"/>
                <w:sz w:val="16"/>
                <w:szCs w:val="16"/>
              </w:rPr>
              <w:t>禁止生产经营下列食品、食品添加剂、食品相关产品：</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（二）致病性微生物，农药残留、兽药残留、生物毒素、重金属等污染物质以及其他危害人体健康的物质含量超过食品安全标准限量的食品、食品添加剂、食品相关产品；</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第一百二十四条第一款</w:t>
            </w:r>
            <w:r>
              <w:rPr>
                <w:rFonts w:hint="eastAsia" w:ascii="Times New Roman" w:hAnsi="Times New Roman" w:eastAsia="方正楷体_GBK" w:cs="Times New Roman"/>
                <w:sz w:val="16"/>
                <w:szCs w:val="16"/>
                <w:lang w:val="en-US" w:eastAsia="zh-CN"/>
              </w:rPr>
              <w:t xml:space="preserve">第（一）项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情节严重的，吊销许可证</w:t>
            </w:r>
            <w:r>
              <w:rPr>
                <w:rFonts w:hint="eastAsia" w:ascii="Times New Roman" w:hAnsi="Times New Roman" w:eastAsia="方正楷体_GBK" w:cs="Times New Roman"/>
                <w:sz w:val="16"/>
                <w:szCs w:val="16"/>
                <w:lang w:eastAsia="zh-CN"/>
              </w:rPr>
              <w:t>：</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（一）生产经营致病性微生物，农药残留、兽药残留、生物毒素、重金属等污染物质以及其他危害人体健康的物质含量超过食品安全标准限量的食品、食品添加剂；</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食品经营者应严格履行进货查验义务，重点查验供货者的资质及食品相关合格证明。严格落实全过程食品安全管理，采取有效措施，避免交叉污染。</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9</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w:t>
            </w:r>
            <w:r>
              <w:rPr>
                <w:rFonts w:hint="default" w:ascii="Times New Roman" w:hAnsi="Times New Roman" w:eastAsia="方正楷体_GBK" w:cs="Times New Roman"/>
                <w:sz w:val="16"/>
                <w:szCs w:val="16"/>
                <w:highlight w:val="none"/>
              </w:rPr>
              <w:t>经营</w:t>
            </w:r>
            <w:r>
              <w:rPr>
                <w:rFonts w:hint="default" w:ascii="Times New Roman" w:hAnsi="Times New Roman" w:eastAsia="方正楷体_GBK" w:cs="Times New Roman"/>
                <w:sz w:val="16"/>
                <w:szCs w:val="16"/>
              </w:rPr>
              <w:t>超过保质期的食品原料、食品添加剂生产的食品、食品添加剂</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在餐饮服务环节中用超过保质期的各种食品原材料、调味料等制作的食品。</w:t>
            </w:r>
          </w:p>
          <w:p>
            <w:pPr>
              <w:pStyle w:val="16"/>
              <w:bidi w:val="0"/>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在食堂加工区域使用超过保质期的番茄汁等调味料。</w:t>
            </w:r>
          </w:p>
        </w:tc>
        <w:tc>
          <w:tcPr>
            <w:tcW w:w="5526"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33" w:lineRule="auto"/>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第（三）项  </w:t>
            </w:r>
            <w:r>
              <w:rPr>
                <w:rFonts w:hint="default" w:ascii="Times New Roman" w:hAnsi="Times New Roman" w:eastAsia="方正楷体_GBK" w:cs="Times New Roman"/>
                <w:sz w:val="16"/>
                <w:szCs w:val="16"/>
              </w:rPr>
              <w:t>禁止生产经营下列食品、食品添加剂、食品相关产品：（三）用超过保质期的食品原料、食品添加剂生产的食品、食品添加剂；</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第一百二十四条第一款</w:t>
            </w:r>
            <w:r>
              <w:rPr>
                <w:rFonts w:hint="eastAsia" w:ascii="Times New Roman" w:hAnsi="Times New Roman" w:eastAsia="方正楷体_GBK" w:cs="Times New Roman"/>
                <w:sz w:val="16"/>
                <w:szCs w:val="16"/>
                <w:lang w:val="en-US" w:eastAsia="zh-CN"/>
              </w:rPr>
              <w:t xml:space="preserve">第（二）项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r>
              <w:rPr>
                <w:rFonts w:hint="eastAsia" w:ascii="Times New Roman" w:hAnsi="Times New Roman" w:eastAsia="方正楷体_GBK" w:cs="Times New Roman"/>
                <w:sz w:val="16"/>
                <w:szCs w:val="16"/>
                <w:lang w:eastAsia="zh-CN"/>
              </w:rPr>
              <w:t>：</w:t>
            </w:r>
          </w:p>
          <w:p>
            <w:pPr>
              <w:pStyle w:val="16"/>
              <w:keepNext w:val="0"/>
              <w:keepLines w:val="0"/>
              <w:pageBreakBefore w:val="0"/>
              <w:widowControl w:val="0"/>
              <w:kinsoku/>
              <w:wordWrap/>
              <w:overflowPunct/>
              <w:topLinePunct w:val="0"/>
              <w:autoSpaceDE w:val="0"/>
              <w:autoSpaceDN w:val="0"/>
              <w:bidi w:val="0"/>
              <w:adjustRightInd/>
              <w:snapToGrid/>
              <w:spacing w:line="233" w:lineRule="auto"/>
              <w:ind w:firstLine="320" w:firstLineChars="200"/>
              <w:jc w:val="both"/>
              <w:textAlignment w:val="auto"/>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（二）用超过保质期的食品原料、食品添加剂生产食品、食品添加剂，或者经营上述食品、食品添加剂</w:t>
            </w:r>
            <w:r>
              <w:rPr>
                <w:rFonts w:hint="eastAsia" w:ascii="Times New Roman" w:hAnsi="Times New Roman" w:eastAsia="方正楷体_GBK" w:cs="Times New Roman"/>
                <w:sz w:val="16"/>
                <w:szCs w:val="16"/>
                <w:lang w:eastAsia="zh-CN"/>
              </w:rPr>
              <w:t>；</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食品经营者应当建立食品原料、食品添加剂管理制度，定期对食品原料、食品添加剂进行清理。</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10</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不得经营超范围、超限量使用食品添加剂的食品</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1.经营超范围使用食品添加剂的食品；</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2.经营超限量使用食品添加剂的食品。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某餐饮店在制作馒头时超范围添加糖精钠或含铝发泡剂。</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第（四）项  </w:t>
            </w:r>
            <w:r>
              <w:rPr>
                <w:rFonts w:hint="default" w:ascii="Times New Roman" w:hAnsi="Times New Roman" w:eastAsia="方正楷体_GBK" w:cs="Times New Roman"/>
                <w:sz w:val="16"/>
                <w:szCs w:val="16"/>
              </w:rPr>
              <w:t>禁止生产经营下列食品、食品添加剂、食品相关产品：</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（四）超范围、超限量使用食品添加剂的食品；</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第一百二十四条第一款</w:t>
            </w:r>
            <w:r>
              <w:rPr>
                <w:rFonts w:hint="eastAsia" w:ascii="Times New Roman" w:hAnsi="Times New Roman" w:eastAsia="方正楷体_GBK" w:cs="Times New Roman"/>
                <w:sz w:val="16"/>
                <w:szCs w:val="16"/>
                <w:lang w:val="en-US" w:eastAsia="zh-CN"/>
              </w:rPr>
              <w:t xml:space="preserve">第（三）项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（三）生产经营超范围、超限量使用食品添加剂的食品；</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按照《食品安全国家标准食品添加剂使用标准》规定的食品添加剂品种、使用范围、使用量，使用食品添加剂。</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食品添加剂由专人负责保管、领用、登记，并有相关使用记录。专册记录使用的食品添加剂名称、生产日期或批号、添加的食品品种、添加量、添加时间、操作人员等信息，加强食品添加剂使用管理。</w:t>
            </w:r>
          </w:p>
          <w:p>
            <w:pPr>
              <w:pStyle w:val="16"/>
              <w:keepNext w:val="0"/>
              <w:keepLines w:val="0"/>
              <w:pageBreakBefore w:val="0"/>
              <w:widowControl w:val="0"/>
              <w:kinsoku/>
              <w:wordWrap/>
              <w:overflowPunct/>
              <w:topLinePunct w:val="0"/>
              <w:autoSpaceDE w:val="0"/>
              <w:autoSpaceDN w:val="0"/>
              <w:bidi w:val="0"/>
              <w:adjustRightInd/>
              <w:snapToGrid/>
              <w:spacing w:line="216"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拆包后的食品添加剂的，应在盛放容器上标明食品添加剂名称等，并保留原包装。</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0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11</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不得经营腐败变质、油脂酸败、霉变生虫、污秽不洁、混有异物、掺假掺杂或者感官性状异常的食品、食品添加剂</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经营腐败变质、油脂酸败、霉变生虫、污秽不洁、混有异物、掺假掺杂或者感官性状异常的食品、食品添加剂。</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如</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散装食品已经生虫或者变质仍继续销售。</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第（六）项  </w:t>
            </w:r>
            <w:r>
              <w:rPr>
                <w:rFonts w:hint="default" w:ascii="Times New Roman" w:hAnsi="Times New Roman" w:eastAsia="方正楷体_GBK" w:cs="Times New Roman"/>
                <w:sz w:val="16"/>
                <w:szCs w:val="16"/>
              </w:rPr>
              <w:t>禁止生产经营下列食品、食品添加剂、食品相关产品：</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（六）腐败变质、油脂酸败、霉变生虫、污秽不洁、混有异物、掺假掺杂或者感官性状异常的食品、食品添加剂；</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第一百二十四条第一款</w:t>
            </w:r>
            <w:r>
              <w:rPr>
                <w:rFonts w:hint="eastAsia" w:ascii="Times New Roman" w:hAnsi="Times New Roman" w:eastAsia="方正楷体_GBK" w:cs="Times New Roman"/>
                <w:sz w:val="16"/>
                <w:szCs w:val="16"/>
                <w:lang w:val="en-US" w:eastAsia="zh-CN"/>
              </w:rPr>
              <w:t xml:space="preserve">第（四）项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（四）生产经营腐败变质、油脂酸败、霉变生虫、污秽不洁、混有异物、掺假掺杂或者感官性状异常的食品、食品添加剂；</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食品经营者应当加强食品贮存管理和过程控制，定期检查库存食品、食品添加剂，及时清理变质、油脂酸败、霉变生虫、污秽不洁、混有异物、掺假掺杂或感官性状异常的食品、食品添加剂。</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0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12</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不得经营标注虚假生产日期、保质期或者超过保质期的食品、食品添加剂</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1.经营标注虚假生产日期、保质期的食品、食品添加剂；</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2.经营超过保质期的食品、食品添加剂。</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第（十）项  </w:t>
            </w:r>
            <w:r>
              <w:rPr>
                <w:rFonts w:hint="default" w:ascii="Times New Roman" w:hAnsi="Times New Roman" w:eastAsia="方正楷体_GBK" w:cs="Times New Roman"/>
                <w:sz w:val="16"/>
                <w:szCs w:val="16"/>
              </w:rPr>
              <w:t>禁止生产经营下列食品、食品添加剂、食品相关产品：（十）标注虚假生产日期、保质期或者超过保质期的食品、食品添加剂；</w:t>
            </w:r>
          </w:p>
          <w:p>
            <w:pPr>
              <w:pStyle w:val="16"/>
              <w:bidi w:val="0"/>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第一百二十四条第一款</w:t>
            </w:r>
            <w:r>
              <w:rPr>
                <w:rFonts w:hint="eastAsia" w:ascii="Times New Roman" w:hAnsi="Times New Roman" w:eastAsia="方正楷体_GBK" w:cs="Times New Roman"/>
                <w:sz w:val="16"/>
                <w:szCs w:val="16"/>
                <w:lang w:val="en-US" w:eastAsia="zh-CN"/>
              </w:rPr>
              <w:t xml:space="preserve">第（五）项  </w:t>
            </w:r>
            <w:r>
              <w:rPr>
                <w:rFonts w:hint="default" w:ascii="Times New Roman" w:hAnsi="Times New Roman" w:eastAsia="方正楷体_GBK" w:cs="Times New Roman"/>
                <w:sz w:val="16"/>
                <w:szCs w:val="16"/>
              </w:rPr>
              <w:t>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（五）生产经营标注虚假生产日期、保质期或者超过保质期的食品、食品添加剂；</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食品经营者应当按照保证食品安全的要求贮存食品，定期检查库存食品，及时清理标注虚假生产日期、保质期或超过保质期</w:t>
            </w:r>
            <w:r>
              <w:rPr>
                <w:rFonts w:hint="eastAsia" w:ascii="Times New Roman" w:hAnsi="Times New Roman" w:eastAsia="方正楷体_GBK" w:cs="Times New Roman"/>
                <w:sz w:val="16"/>
                <w:szCs w:val="16"/>
                <w:highlight w:val="none"/>
                <w:lang w:eastAsia="zh-CN"/>
              </w:rPr>
              <w:t>的食品</w:t>
            </w:r>
            <w:r>
              <w:rPr>
                <w:rFonts w:hint="default" w:ascii="Times New Roman" w:hAnsi="Times New Roman" w:eastAsia="方正楷体_GBK" w:cs="Times New Roman"/>
                <w:sz w:val="16"/>
                <w:szCs w:val="16"/>
              </w:rPr>
              <w:t>。真实标注生产日期，不得伪造、篡改生产日期。</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7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不得经营被包装材料、容器、运输工具等污染的食品、食品添加剂</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经营被包装材料、容器、运输工具等污染的食品、食品添加剂。</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第（九）项  </w:t>
            </w:r>
            <w:r>
              <w:rPr>
                <w:rFonts w:hint="default" w:ascii="Times New Roman" w:hAnsi="Times New Roman" w:eastAsia="方正楷体_GBK" w:cs="Times New Roman"/>
                <w:sz w:val="16"/>
                <w:szCs w:val="16"/>
              </w:rPr>
              <w:t>禁止生产经营下列食品、食品添加剂、食品相关产品：</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（九）被包装材料、容器、运输工具等污染的食品、食品添加剂；</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第一百二十五条第一款</w:t>
            </w:r>
            <w:r>
              <w:rPr>
                <w:rFonts w:hint="eastAsia" w:ascii="Times New Roman" w:hAnsi="Times New Roman" w:eastAsia="方正楷体_GBK" w:cs="Times New Roman"/>
                <w:sz w:val="16"/>
                <w:szCs w:val="16"/>
                <w:lang w:val="en-US" w:eastAsia="zh-CN"/>
              </w:rPr>
              <w:t xml:space="preserve">第（一）项  </w:t>
            </w:r>
            <w:r>
              <w:rPr>
                <w:rFonts w:hint="default" w:ascii="Times New Roman" w:hAnsi="Times New Roman" w:eastAsia="方正楷体_GBK" w:cs="Times New Roman"/>
                <w:sz w:val="16"/>
                <w:szCs w:val="16"/>
              </w:rPr>
              <w:t>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（一）生产经营被包装材料、容器、运输工具等污染的食品、食品添加剂；</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食品经营者应当选用符合食品安全要求的包装材料、容器、运输工具，加强过程管理，防止食品被污染。</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6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14</w:t>
            </w:r>
          </w:p>
        </w:tc>
        <w:tc>
          <w:tcPr>
            <w:tcW w:w="1354" w:type="dxa"/>
            <w:tcMar>
              <w:top w:w="57" w:type="dxa"/>
              <w:left w:w="57" w:type="dxa"/>
              <w:bottom w:w="57" w:type="dxa"/>
              <w:right w:w="57" w:type="dxa"/>
            </w:tcMar>
            <w:vAlign w:val="center"/>
          </w:tcPr>
          <w:p>
            <w:pPr>
              <w:pStyle w:val="16"/>
              <w:bidi w:val="0"/>
              <w:spacing w:line="240" w:lineRule="auto"/>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食品经营者销售散装食品，应当在散装食品的容器、外包装上标明食品的名称、生产日期或者生产批号、保质期以及生产经营者名称、地址、联系方式等内容</w:t>
            </w:r>
            <w:r>
              <w:rPr>
                <w:rFonts w:hint="eastAsia" w:ascii="Times New Roman" w:hAnsi="Times New Roman" w:eastAsia="方正楷体_GBK" w:cs="Times New Roman"/>
                <w:sz w:val="16"/>
                <w:szCs w:val="16"/>
                <w:lang w:eastAsia="zh-CN"/>
              </w:rPr>
              <w:t>；</w:t>
            </w:r>
          </w:p>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食品经营者应当按照食品标签标示的警示标志、警示说明或者注意事项的要求销售食品</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销售散装食品，未在散装食品的容器、外包装上标明食品的名称、生产日期或生产批号、保质期及生产经营者名称、地址、联系方式等内容</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未按食品标签标示的警示标志、警示说明或注意事项的要求销售食品。</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第六十八条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食品经营者销售散装食品，应当在散装食品的容器、外包装上标明食品的名称、生产日期或者生产批号、保质期以及生产经营者名称、地址、联系方式等内容。</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第七十二条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食品经营者应当按照食品标签标示的警示标志、警示说明或者注意事项的要求销售食品。</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第一百二十六条第一款</w:t>
            </w:r>
            <w:r>
              <w:rPr>
                <w:rFonts w:hint="eastAsia" w:ascii="Times New Roman" w:hAnsi="Times New Roman" w:eastAsia="方正楷体_GBK" w:cs="Times New Roman"/>
                <w:sz w:val="16"/>
                <w:szCs w:val="16"/>
                <w:lang w:val="en-US" w:eastAsia="zh-CN"/>
              </w:rPr>
              <w:t xml:space="preserve">第（七）项  </w:t>
            </w:r>
            <w:r>
              <w:rPr>
                <w:rFonts w:hint="default" w:ascii="Times New Roman" w:hAnsi="Times New Roman" w:eastAsia="方正楷体_GBK" w:cs="Times New Roman"/>
                <w:sz w:val="16"/>
                <w:szCs w:val="16"/>
              </w:rPr>
              <w:t>违反本法规定，有下列情形之一的，由县级以上人民政府食品安全监督管理部门责令改正，给予警告；拒不改正的，处五千元以上五万元以下罚款；情节严重的，责令停产停业，直至吊销许可证：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（七）食品经营者未按规定要求销售食品；</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散装食品的容器、外包装上应当标明食品的名称、生产日期或者生产批号、保质期以及生产经营者名称、地址、联系方式等内容。散装熟食制品还应当标明保存条件和温度。保质期不超过72小时的，应当标注到小时，并采用24小时制标注。标注的生产日期应当与生产者在出厂时标注的生产日期一致。</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2.直接入口的散装食品应当使用加盖或非敞开式容器盛放。不得未采取任何防护措施销售直接入口的散装食品。避免在销售过程中仅使用覆盖塑料膜等简单方式进行防护。</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3.应当采取相关措施避免消费者直接接触直接入口的散装食品。鼓励对直接入口的散装食品以适宜方式简单包装后进行销售，可在包装上加贴标签，并注明食品名称、生产日期和保质期等事项，但不得更改原有的生产日期或延长保质期。</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pStyle w:val="18"/>
        <w:spacing w:line="240" w:lineRule="auto"/>
        <w:ind w:firstLine="0"/>
        <w:jc w:val="both"/>
        <w:rPr>
          <w:rFonts w:hint="eastAsia" w:ascii="Times New Roman" w:hAnsi="Times New Roman" w:eastAsia="方正楷体_GBK" w:cs="Times New Roman"/>
          <w:lang w:val="en-US" w:eastAsia="zh-CN"/>
        </w:rPr>
      </w:pPr>
    </w:p>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247" w:hRule="atLeast"/>
        </w:trPr>
        <w:tc>
          <w:tcPr>
            <w:tcW w:w="653" w:type="dxa"/>
            <w:vAlign w:val="center"/>
          </w:tcPr>
          <w:p>
            <w:pPr>
              <w:pStyle w:val="16"/>
              <w:spacing w:before="1"/>
              <w:ind w:left="104" w:leftChars="0" w:right="87" w:rightChars="0"/>
              <w:jc w:val="center"/>
              <w:rPr>
                <w:rFonts w:hint="default" w:ascii="黑体" w:eastAsia="黑体"/>
                <w:b/>
                <w:sz w:val="20"/>
                <w:lang w:val="en-US" w:eastAsia="zh-CN"/>
              </w:rPr>
            </w:pPr>
            <w:r>
              <w:rPr>
                <w:rFonts w:hint="default" w:ascii="Times New Roman" w:hAnsi="Times New Roman" w:eastAsia="黑体" w:cs="Times New Roman"/>
                <w:b w:val="0"/>
                <w:bCs/>
                <w:sz w:val="16"/>
                <w:szCs w:val="16"/>
                <w:lang w:val="en-US" w:eastAsia="zh-CN"/>
              </w:rPr>
              <w:t>15</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经营的食品、添加剂标签应当符合规定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1.经营无标签的预包装食品、食品添加剂；</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2.经营标签不符合食品安全法规定的食品、食品添加剂。例如：销售预包装食品标签未载明生产地址的、销售食品添加剂的标签未载明保质期的</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3.进口的预包装食品、食品添加剂无中文标签或标签、说明书不符合食品安全法规定。例如：进口的预包装食品在销售时未加贴中文标签或未标注代理商名称的</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4.经营转基因食品未按规定显著标示。</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【法律】《中华人民共和国食品安全法》（2021修正）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第三十四条</w:t>
            </w:r>
            <w:r>
              <w:rPr>
                <w:rFonts w:hint="eastAsia" w:ascii="Times New Roman" w:hAnsi="Times New Roman" w:eastAsia="方正楷体_GBK" w:cs="Times New Roman"/>
                <w:sz w:val="16"/>
                <w:szCs w:val="16"/>
                <w:lang w:val="en-US" w:eastAsia="zh-CN"/>
              </w:rPr>
              <w:t xml:space="preserve">第（十一）项  </w:t>
            </w:r>
            <w:r>
              <w:rPr>
                <w:rFonts w:hint="default" w:ascii="Times New Roman" w:hAnsi="Times New Roman" w:eastAsia="方正楷体_GBK" w:cs="Times New Roman"/>
                <w:sz w:val="16"/>
                <w:szCs w:val="16"/>
              </w:rPr>
              <w:t>禁止生产经营下列食品、食品添加剂、食品相关产品：</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（十一）无标签的预包装食品、食品添加剂；</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第六十七条第一款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预包装食品的包装上应当有标签。标签应当标明下列事项：</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（一）名称、规格、净含量、生产日期；</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（二）成分或者配料表；</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（三）生产者的名称、地址、联系方式；</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（四）保质期；</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（五）产品标准代号；</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（六）贮存条件；</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（七）所使用的食品添加剂在国家标准中的通用名称；</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（八）生产许可证编号；</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（九）</w:t>
            </w:r>
            <w:r>
              <w:rPr>
                <w:rFonts w:hint="default" w:ascii="Times New Roman" w:hAnsi="Times New Roman" w:eastAsia="方正楷体_GBK" w:cs="Times New Roman"/>
                <w:sz w:val="16"/>
                <w:szCs w:val="16"/>
                <w:highlight w:val="none"/>
              </w:rPr>
              <w:t>法律、法规</w:t>
            </w:r>
            <w:r>
              <w:rPr>
                <w:rFonts w:hint="default" w:ascii="Times New Roman" w:hAnsi="Times New Roman" w:eastAsia="方正楷体_GBK" w:cs="Times New Roman"/>
                <w:sz w:val="16"/>
                <w:szCs w:val="16"/>
              </w:rPr>
              <w:t>或者食品安全标准规定应当标明的其他事项。</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第七十条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食品添加剂应当有标签、说明书和包装。标签、说明书应当载明本法第六十七条第一款第一项至第六项、第八项、第九项</w:t>
            </w:r>
            <w:r>
              <w:rPr>
                <w:rFonts w:hint="eastAsia" w:ascii="方正楷体_GBK" w:hAnsi="方正楷体_GBK" w:eastAsia="方正楷体_GBK" w:cs="方正楷体_GBK"/>
                <w:sz w:val="16"/>
                <w:szCs w:val="16"/>
              </w:rPr>
              <w:t>规定的事项，以及食品添加剂的使用范围、用量、使用方法，并在标签上载明“食品添加剂”</w:t>
            </w:r>
            <w:r>
              <w:rPr>
                <w:rFonts w:hint="default" w:ascii="Times New Roman" w:hAnsi="Times New Roman" w:eastAsia="方正楷体_GBK" w:cs="Times New Roman"/>
                <w:sz w:val="16"/>
                <w:szCs w:val="16"/>
              </w:rPr>
              <w:t>字样。</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第九十七条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第六十九条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生产经营转基因食品应当按照规定显著标示。</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pPr>
              <w:pStyle w:val="16"/>
              <w:numPr>
                <w:ilvl w:val="0"/>
                <w:numId w:val="3"/>
              </w:numPr>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生产经营无标签的预包装食品、食品添加剂或者标签、说明书不符合本法规定的食品、食品添加剂；</w:t>
            </w:r>
          </w:p>
          <w:p>
            <w:pPr>
              <w:pStyle w:val="16"/>
              <w:numPr>
                <w:ilvl w:val="0"/>
                <w:numId w:val="3"/>
              </w:numPr>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生产经营转基因食品未按规定进行标示；</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04"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1.预包装食品包装上应当有标签。标签应当标明以下事项：（</w:t>
            </w: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）名称、规格、净含量、生产日期；（</w:t>
            </w: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）成分或者配料表；（</w:t>
            </w: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）生产者的名称、地址、联系方式；（</w:t>
            </w: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）保质期；（</w:t>
            </w:r>
            <w:r>
              <w:rPr>
                <w:rFonts w:hint="eastAsia" w:ascii="Times New Roman" w:hAnsi="Times New Roman" w:eastAsia="方正楷体_GBK" w:cs="Times New Roman"/>
                <w:sz w:val="16"/>
                <w:szCs w:val="16"/>
                <w:lang w:val="en-US" w:eastAsia="zh-CN"/>
              </w:rPr>
              <w:t>5</w:t>
            </w:r>
            <w:r>
              <w:rPr>
                <w:rFonts w:hint="default" w:ascii="Times New Roman" w:hAnsi="Times New Roman" w:eastAsia="方正楷体_GBK" w:cs="Times New Roman"/>
                <w:sz w:val="16"/>
                <w:szCs w:val="16"/>
              </w:rPr>
              <w:t>）产品标准代号；（</w:t>
            </w:r>
            <w:r>
              <w:rPr>
                <w:rFonts w:hint="eastAsia" w:ascii="Times New Roman" w:hAnsi="Times New Roman" w:eastAsia="方正楷体_GBK" w:cs="Times New Roman"/>
                <w:sz w:val="16"/>
                <w:szCs w:val="16"/>
                <w:lang w:val="en-US" w:eastAsia="zh-CN"/>
              </w:rPr>
              <w:t>6</w:t>
            </w:r>
            <w:r>
              <w:rPr>
                <w:rFonts w:hint="default" w:ascii="Times New Roman" w:hAnsi="Times New Roman" w:eastAsia="方正楷体_GBK" w:cs="Times New Roman"/>
                <w:sz w:val="16"/>
                <w:szCs w:val="16"/>
              </w:rPr>
              <w:t>）贮存条件；（</w:t>
            </w:r>
            <w:r>
              <w:rPr>
                <w:rFonts w:hint="eastAsia" w:ascii="Times New Roman" w:hAnsi="Times New Roman" w:eastAsia="方正楷体_GBK" w:cs="Times New Roman"/>
                <w:sz w:val="16"/>
                <w:szCs w:val="16"/>
                <w:lang w:val="en-US" w:eastAsia="zh-CN"/>
              </w:rPr>
              <w:t>7</w:t>
            </w:r>
            <w:r>
              <w:rPr>
                <w:rFonts w:hint="default" w:ascii="Times New Roman" w:hAnsi="Times New Roman" w:eastAsia="方正楷体_GBK" w:cs="Times New Roman"/>
                <w:sz w:val="16"/>
                <w:szCs w:val="16"/>
              </w:rPr>
              <w:t>）所使用的食品添加剂在国家标准中的通用名称；（</w:t>
            </w:r>
            <w:r>
              <w:rPr>
                <w:rFonts w:hint="eastAsia" w:ascii="Times New Roman" w:hAnsi="Times New Roman" w:eastAsia="方正楷体_GBK" w:cs="Times New Roman"/>
                <w:sz w:val="16"/>
                <w:szCs w:val="16"/>
                <w:lang w:val="en-US" w:eastAsia="zh-CN"/>
              </w:rPr>
              <w:t>8</w:t>
            </w:r>
            <w:r>
              <w:rPr>
                <w:rFonts w:hint="default" w:ascii="Times New Roman" w:hAnsi="Times New Roman" w:eastAsia="方正楷体_GBK" w:cs="Times New Roman"/>
                <w:sz w:val="16"/>
                <w:szCs w:val="16"/>
              </w:rPr>
              <w:t>）生产许可证编号；（</w:t>
            </w:r>
            <w:r>
              <w:rPr>
                <w:rFonts w:hint="eastAsia" w:ascii="Times New Roman" w:hAnsi="Times New Roman" w:eastAsia="方正楷体_GBK" w:cs="Times New Roman"/>
                <w:sz w:val="16"/>
                <w:szCs w:val="16"/>
                <w:lang w:val="en-US" w:eastAsia="zh-CN"/>
              </w:rPr>
              <w:t>9</w:t>
            </w:r>
            <w:r>
              <w:rPr>
                <w:rFonts w:hint="default" w:ascii="Times New Roman" w:hAnsi="Times New Roman" w:eastAsia="方正楷体_GBK" w:cs="Times New Roman"/>
                <w:sz w:val="16"/>
                <w:szCs w:val="16"/>
              </w:rPr>
              <w:t>）</w:t>
            </w:r>
            <w:r>
              <w:rPr>
                <w:rFonts w:hint="default" w:ascii="Times New Roman" w:hAnsi="Times New Roman" w:eastAsia="方正楷体_GBK" w:cs="Times New Roman"/>
                <w:sz w:val="16"/>
                <w:szCs w:val="16"/>
                <w:highlight w:val="none"/>
              </w:rPr>
              <w:t>法律、法规</w:t>
            </w:r>
            <w:r>
              <w:rPr>
                <w:rFonts w:hint="default" w:ascii="Times New Roman" w:hAnsi="Times New Roman" w:eastAsia="方正楷体_GBK" w:cs="Times New Roman"/>
                <w:sz w:val="16"/>
                <w:szCs w:val="16"/>
              </w:rPr>
              <w:t>或者食品安全标准规定标明的其他事项；（</w:t>
            </w:r>
            <w:r>
              <w:rPr>
                <w:rFonts w:hint="eastAsia" w:ascii="Times New Roman" w:hAnsi="Times New Roman" w:eastAsia="方正楷体_GBK" w:cs="Times New Roman"/>
                <w:sz w:val="16"/>
                <w:szCs w:val="16"/>
                <w:lang w:val="en-US" w:eastAsia="zh-CN"/>
              </w:rPr>
              <w:t>10</w:t>
            </w:r>
            <w:r>
              <w:rPr>
                <w:rFonts w:hint="default" w:ascii="Times New Roman" w:hAnsi="Times New Roman" w:eastAsia="方正楷体_GBK" w:cs="Times New Roman"/>
                <w:sz w:val="16"/>
                <w:szCs w:val="16"/>
              </w:rPr>
              <w:t>）专供婴幼儿和其他特定人群的主辅食品，还应当标明主要营养成分及其含量；（</w:t>
            </w:r>
            <w:r>
              <w:rPr>
                <w:rFonts w:hint="eastAsia" w:ascii="Times New Roman" w:hAnsi="Times New Roman" w:eastAsia="方正楷体_GBK" w:cs="Times New Roman"/>
                <w:sz w:val="16"/>
                <w:szCs w:val="16"/>
                <w:lang w:val="en-US" w:eastAsia="zh-CN"/>
              </w:rPr>
              <w:t>11</w:t>
            </w:r>
            <w:r>
              <w:rPr>
                <w:rFonts w:hint="default" w:ascii="Times New Roman" w:hAnsi="Times New Roman" w:eastAsia="方正楷体_GBK" w:cs="Times New Roman"/>
                <w:sz w:val="16"/>
                <w:szCs w:val="16"/>
              </w:rPr>
              <w:t>）加碘食盐应当有明显标识并标明碘的含量。未加碘食盐的标签应当在显著位置标</w:t>
            </w:r>
            <w:r>
              <w:rPr>
                <w:rFonts w:hint="eastAsia" w:ascii="方正楷体_GBK" w:hAnsi="方正楷体_GBK" w:eastAsia="方正楷体_GBK" w:cs="方正楷体_GBK"/>
                <w:sz w:val="16"/>
                <w:szCs w:val="16"/>
              </w:rPr>
              <w:t>注“未加碘”</w:t>
            </w:r>
            <w:r>
              <w:rPr>
                <w:rFonts w:hint="default" w:ascii="Times New Roman" w:hAnsi="Times New Roman" w:eastAsia="方正楷体_GBK" w:cs="Times New Roman"/>
                <w:sz w:val="16"/>
                <w:szCs w:val="16"/>
              </w:rPr>
              <w:t>字样。</w:t>
            </w:r>
          </w:p>
          <w:p>
            <w:pPr>
              <w:pStyle w:val="16"/>
              <w:keepNext w:val="0"/>
              <w:keepLines w:val="0"/>
              <w:pageBreakBefore w:val="0"/>
              <w:widowControl w:val="0"/>
              <w:kinsoku/>
              <w:wordWrap/>
              <w:overflowPunct/>
              <w:topLinePunct w:val="0"/>
              <w:autoSpaceDE w:val="0"/>
              <w:autoSpaceDN w:val="0"/>
              <w:bidi w:val="0"/>
              <w:adjustRightInd/>
              <w:snapToGrid/>
              <w:spacing w:line="204"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2.食品添加剂应当有</w:t>
            </w:r>
            <w:r>
              <w:rPr>
                <w:rFonts w:hint="eastAsia" w:ascii="方正楷体_GBK" w:hAnsi="方正楷体_GBK" w:eastAsia="方正楷体_GBK" w:cs="方正楷体_GBK"/>
                <w:sz w:val="16"/>
                <w:szCs w:val="16"/>
              </w:rPr>
              <w:t>标签、说明书和包装。标签上应当载明“食品添加剂” 字样。提供给消费者直接使用的食品添加剂，标签上还应当注明“零售”字</w:t>
            </w:r>
            <w:r>
              <w:rPr>
                <w:rFonts w:hint="default" w:ascii="Times New Roman" w:hAnsi="Times New Roman" w:eastAsia="方正楷体_GBK" w:cs="Times New Roman"/>
                <w:sz w:val="16"/>
                <w:szCs w:val="16"/>
              </w:rPr>
              <w:t>样。标签、说明书还应当载明以下事项：（</w:t>
            </w: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）名称、规格、净含量、生产日期；（</w:t>
            </w: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）成分或者配料表；（</w:t>
            </w: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）生产者的名称、地址、联系方式；（</w:t>
            </w: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rPr>
              <w:t>）保质期；（</w:t>
            </w:r>
            <w:r>
              <w:rPr>
                <w:rFonts w:hint="eastAsia" w:ascii="Times New Roman" w:hAnsi="Times New Roman" w:eastAsia="方正楷体_GBK" w:cs="Times New Roman"/>
                <w:sz w:val="16"/>
                <w:szCs w:val="16"/>
                <w:lang w:val="en-US" w:eastAsia="zh-CN"/>
              </w:rPr>
              <w:t>5</w:t>
            </w:r>
            <w:r>
              <w:rPr>
                <w:rFonts w:hint="default" w:ascii="Times New Roman" w:hAnsi="Times New Roman" w:eastAsia="方正楷体_GBK" w:cs="Times New Roman"/>
                <w:sz w:val="16"/>
                <w:szCs w:val="16"/>
              </w:rPr>
              <w:t>）产品标准代号；（</w:t>
            </w:r>
            <w:r>
              <w:rPr>
                <w:rFonts w:hint="eastAsia" w:ascii="Times New Roman" w:hAnsi="Times New Roman" w:eastAsia="方正楷体_GBK" w:cs="Times New Roman"/>
                <w:sz w:val="16"/>
                <w:szCs w:val="16"/>
                <w:lang w:val="en-US" w:eastAsia="zh-CN"/>
              </w:rPr>
              <w:t>6</w:t>
            </w:r>
            <w:r>
              <w:rPr>
                <w:rFonts w:hint="default" w:ascii="Times New Roman" w:hAnsi="Times New Roman" w:eastAsia="方正楷体_GBK" w:cs="Times New Roman"/>
                <w:sz w:val="16"/>
                <w:szCs w:val="16"/>
              </w:rPr>
              <w:t>）贮存条件；（</w:t>
            </w:r>
            <w:r>
              <w:rPr>
                <w:rFonts w:hint="eastAsia" w:ascii="Times New Roman" w:hAnsi="Times New Roman" w:eastAsia="方正楷体_GBK" w:cs="Times New Roman"/>
                <w:sz w:val="16"/>
                <w:szCs w:val="16"/>
                <w:lang w:val="en-US" w:eastAsia="zh-CN"/>
              </w:rPr>
              <w:t>7</w:t>
            </w:r>
            <w:r>
              <w:rPr>
                <w:rFonts w:hint="default" w:ascii="Times New Roman" w:hAnsi="Times New Roman" w:eastAsia="方正楷体_GBK" w:cs="Times New Roman"/>
                <w:sz w:val="16"/>
                <w:szCs w:val="16"/>
              </w:rPr>
              <w:t>）生产许可证编号；（</w:t>
            </w:r>
            <w:r>
              <w:rPr>
                <w:rFonts w:hint="eastAsia" w:ascii="Times New Roman" w:hAnsi="Times New Roman" w:eastAsia="方正楷体_GBK" w:cs="Times New Roman"/>
                <w:sz w:val="16"/>
                <w:szCs w:val="16"/>
                <w:lang w:val="en-US" w:eastAsia="zh-CN"/>
              </w:rPr>
              <w:t>8</w:t>
            </w:r>
            <w:r>
              <w:rPr>
                <w:rFonts w:hint="default" w:ascii="Times New Roman" w:hAnsi="Times New Roman" w:eastAsia="方正楷体_GBK" w:cs="Times New Roman"/>
                <w:sz w:val="16"/>
                <w:szCs w:val="16"/>
              </w:rPr>
              <w:t>）使用范围、用量、使用方法；（</w:t>
            </w:r>
            <w:r>
              <w:rPr>
                <w:rFonts w:hint="eastAsia" w:ascii="Times New Roman" w:hAnsi="Times New Roman" w:eastAsia="方正楷体_GBK" w:cs="Times New Roman"/>
                <w:sz w:val="16"/>
                <w:szCs w:val="16"/>
                <w:lang w:val="en-US" w:eastAsia="zh-CN"/>
              </w:rPr>
              <w:t>9</w:t>
            </w:r>
            <w:r>
              <w:rPr>
                <w:rFonts w:hint="default" w:ascii="Times New Roman" w:hAnsi="Times New Roman" w:eastAsia="方正楷体_GBK" w:cs="Times New Roman"/>
                <w:sz w:val="16"/>
                <w:szCs w:val="16"/>
              </w:rPr>
              <w:t>）</w:t>
            </w:r>
            <w:r>
              <w:rPr>
                <w:rFonts w:hint="default" w:ascii="Times New Roman" w:hAnsi="Times New Roman" w:eastAsia="方正楷体_GBK" w:cs="Times New Roman"/>
                <w:sz w:val="16"/>
                <w:szCs w:val="16"/>
                <w:highlight w:val="none"/>
              </w:rPr>
              <w:t>法律、法规</w:t>
            </w:r>
            <w:r>
              <w:rPr>
                <w:rFonts w:hint="default" w:ascii="Times New Roman" w:hAnsi="Times New Roman" w:eastAsia="方正楷体_GBK" w:cs="Times New Roman"/>
                <w:sz w:val="16"/>
                <w:szCs w:val="16"/>
              </w:rPr>
              <w:t>或者食品安全标准规定标明的其他事项。</w:t>
            </w:r>
          </w:p>
          <w:p>
            <w:pPr>
              <w:pStyle w:val="16"/>
              <w:keepNext w:val="0"/>
              <w:keepLines w:val="0"/>
              <w:pageBreakBefore w:val="0"/>
              <w:widowControl w:val="0"/>
              <w:kinsoku/>
              <w:wordWrap/>
              <w:overflowPunct/>
              <w:topLinePunct w:val="0"/>
              <w:autoSpaceDE w:val="0"/>
              <w:autoSpaceDN w:val="0"/>
              <w:bidi w:val="0"/>
              <w:adjustRightInd/>
              <w:snapToGrid/>
              <w:spacing w:line="204" w:lineRule="auto"/>
              <w:ind w:firstLine="320" w:firstLineChars="200"/>
              <w:jc w:val="both"/>
              <w:textAlignment w:val="auto"/>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3.进口的预包装食品、食品添加剂应当有中文标签；依法应当有说明书的，还应当有中文说明书。标签、说明书应当标示原产国国名或地区区名（如香港、澳门、台湾），以及在中国依法登记注册的代理商、进口商或经销者的名称、地址和联系方式，可不标示生产者的名称、地址和联系方式，应当符合我国法律、行政法规的规定和食品安全国家标准的要求。</w:t>
            </w:r>
          </w:p>
          <w:p>
            <w:pPr>
              <w:pStyle w:val="16"/>
              <w:keepNext w:val="0"/>
              <w:keepLines w:val="0"/>
              <w:pageBreakBefore w:val="0"/>
              <w:widowControl w:val="0"/>
              <w:kinsoku/>
              <w:wordWrap/>
              <w:overflowPunct/>
              <w:topLinePunct w:val="0"/>
              <w:autoSpaceDE w:val="0"/>
              <w:autoSpaceDN w:val="0"/>
              <w:bidi w:val="0"/>
              <w:adjustRightInd/>
              <w:snapToGrid/>
              <w:spacing w:line="204"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4.标签、说明书应当清楚、醒目、持久，使消费者购买时易于辨认和识读。转基因食品按照规定显著标示。</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49" w:hRule="atLeast"/>
        </w:trPr>
        <w:tc>
          <w:tcPr>
            <w:tcW w:w="653" w:type="dxa"/>
            <w:vAlign w:val="center"/>
          </w:tcPr>
          <w:p>
            <w:pPr>
              <w:pStyle w:val="16"/>
              <w:spacing w:before="1"/>
              <w:ind w:left="104" w:leftChars="0" w:right="87" w:rightChars="0"/>
              <w:jc w:val="center"/>
              <w:rPr>
                <w:rFonts w:hint="default" w:ascii="黑体" w:eastAsia="黑体"/>
                <w:b/>
                <w:sz w:val="20"/>
                <w:lang w:val="en-US" w:eastAsia="zh-CN"/>
              </w:rPr>
            </w:pPr>
            <w:r>
              <w:rPr>
                <w:rFonts w:hint="default" w:ascii="Times New Roman" w:hAnsi="Times New Roman" w:eastAsia="黑体" w:cs="Times New Roman"/>
                <w:b w:val="0"/>
                <w:bCs/>
                <w:sz w:val="16"/>
                <w:szCs w:val="16"/>
                <w:lang w:val="en-US" w:eastAsia="zh-CN"/>
              </w:rPr>
              <w:t>16</w:t>
            </w:r>
          </w:p>
        </w:tc>
        <w:tc>
          <w:tcPr>
            <w:tcW w:w="1354" w:type="dxa"/>
            <w:tcMar>
              <w:top w:w="57" w:type="dxa"/>
              <w:left w:w="57" w:type="dxa"/>
              <w:bottom w:w="57" w:type="dxa"/>
              <w:right w:w="57" w:type="dxa"/>
            </w:tcMar>
            <w:vAlign w:val="center"/>
          </w:tcPr>
          <w:p>
            <w:pPr>
              <w:pStyle w:val="16"/>
              <w:bidi w:val="0"/>
              <w:spacing w:line="240" w:lineRule="auto"/>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食品经营企业应当建立健全食品安全管理制度，加强人员管理</w:t>
            </w:r>
            <w:r>
              <w:rPr>
                <w:rFonts w:hint="eastAsia" w:ascii="Times New Roman" w:hAnsi="Times New Roman" w:eastAsia="方正楷体_GBK" w:cs="Times New Roman"/>
                <w:sz w:val="16"/>
                <w:szCs w:val="16"/>
                <w:lang w:eastAsia="zh-CN"/>
              </w:rPr>
              <w:t>；</w:t>
            </w:r>
          </w:p>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食品经营人员应当保持个人卫生</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rPr>
              <w:t>食品经营企业未按规定建立食品安全管理制度</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rPr>
              <w:t>食品经营企业未按规定配备或培训、考核食品安全管理人员</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rPr>
              <w:t>食品经营人员未保持个人卫生，经营食品时未将手洗净并穿戴清洁的工作衣、帽等，或销售无包装的直接入口食品时未使用无毒、清洁的容器、售货工具和设备。</w:t>
            </w:r>
          </w:p>
        </w:tc>
        <w:tc>
          <w:tcPr>
            <w:tcW w:w="5526" w:type="dxa"/>
            <w:tcMar>
              <w:top w:w="57" w:type="dxa"/>
              <w:left w:w="57" w:type="dxa"/>
              <w:bottom w:w="57" w:type="dxa"/>
              <w:right w:w="57" w:type="dxa"/>
            </w:tcMar>
            <w:vAlign w:val="center"/>
          </w:tcPr>
          <w:p>
            <w:pPr>
              <w:pStyle w:val="16"/>
              <w:bidi w:val="0"/>
              <w:spacing w:line="240" w:lineRule="auto"/>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【法律】《中华人民共和国食品安全法》（2021修正）</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第三十三条第一款</w:t>
            </w:r>
            <w:r>
              <w:rPr>
                <w:rFonts w:hint="eastAsia" w:ascii="Times New Roman" w:hAnsi="Times New Roman" w:eastAsia="方正楷体_GBK" w:cs="Times New Roman"/>
                <w:sz w:val="16"/>
                <w:szCs w:val="16"/>
                <w:lang w:val="en-US" w:eastAsia="zh-CN"/>
              </w:rPr>
              <w:t xml:space="preserve">第（八）项  </w:t>
            </w:r>
            <w:r>
              <w:rPr>
                <w:rFonts w:hint="default" w:ascii="Times New Roman" w:hAnsi="Times New Roman" w:eastAsia="方正楷体_GBK" w:cs="Times New Roman"/>
                <w:sz w:val="16"/>
                <w:szCs w:val="16"/>
              </w:rPr>
              <w:t>食品生产经营应当符合食品安全标准，并符合下列要求：</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（八）食品生产经营人员应当保持个人卫生，生产经营食品时，应当将手洗净，穿戴清洁的工作衣、帽等；销售无包装的直接入口食品时，应当使用无毒、清洁的容器、售货工具和设备；</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食品生产经营企业应当建立健全食品安全管理制度，对职工进行食品安全知识培训，加强食品检验工作，依法从事生产经营活动。</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第四十四条第三款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p>
          <w:p>
            <w:pPr>
              <w:pStyle w:val="16"/>
              <w:bidi w:val="0"/>
              <w:spacing w:line="240" w:lineRule="auto"/>
              <w:ind w:firstLine="320" w:firstLineChars="200"/>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第一百二十六条第一款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违反本法规定，有下列情形之一的，由县级以上人民政府食品安全监督管理部门责令改正，给予警告；拒不改正的，处五千元以上五万元以下罚款；情节严重的，责令停产停业，直至吊销许可证。</w:t>
            </w:r>
          </w:p>
          <w:p>
            <w:pPr>
              <w:pStyle w:val="16"/>
              <w:bidi w:val="0"/>
              <w:spacing w:line="240" w:lineRule="auto"/>
              <w:jc w:val="both"/>
              <w:rPr>
                <w:rFonts w:hint="default" w:ascii="Times New Roman" w:hAnsi="Times New Roman" w:eastAsia="方正楷体_GBK" w:cs="Times New Roman"/>
                <w:sz w:val="16"/>
                <w:szCs w:val="16"/>
              </w:rPr>
            </w:pPr>
            <w:r>
              <w:rPr>
                <w:rFonts w:hint="default" w:ascii="Times New Roman" w:hAnsi="Times New Roman" w:eastAsia="方正楷体_GBK" w:cs="Times New Roman"/>
                <w:sz w:val="16"/>
                <w:szCs w:val="16"/>
              </w:rPr>
              <w:t>【行政法规】《中华人民共和国食品安全法实施条例》（2019修订）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第七十条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rPr>
              <w:t>除食品安全法第一百二十五条第一款、第一百二十六条规定的情形外，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1.应当建立并执行以下食品安全管理制度：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1</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从业人员健康管理制度；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2</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 xml:space="preserve"> 进货查验制度；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3</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餐饮具清洗消毒保洁制度；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4</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食品安全自检自查与报告制度；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5</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从业人员培训管理制度；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6</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食品安全管理员制度；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7</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场所及设施设备清洗消毒和维修保养制度；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8</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食品贮存管理制度；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9</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 xml:space="preserve">食品经营过程与控制制度； </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10</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食品添加剂使用制度；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11</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废弃物处置制度；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12</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食品安全追溯制度</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13</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不合格食品召回制度等</w:t>
            </w:r>
            <w:r>
              <w:rPr>
                <w:rFonts w:hint="eastAsia" w:ascii="Times New Roman" w:hAnsi="Times New Roman" w:eastAsia="方正楷体_GBK" w:cs="Times New Roman"/>
                <w:sz w:val="16"/>
                <w:szCs w:val="16"/>
                <w:lang w:eastAsia="zh-CN"/>
              </w:rPr>
              <w:t>。</w:t>
            </w:r>
          </w:p>
          <w:p>
            <w:pPr>
              <w:pStyle w:val="16"/>
              <w:keepNext w:val="0"/>
              <w:keepLines w:val="0"/>
              <w:pageBreakBefore w:val="0"/>
              <w:widowControl w:val="0"/>
              <w:kinsoku/>
              <w:wordWrap/>
              <w:overflowPunct/>
              <w:topLinePunct w:val="0"/>
              <w:autoSpaceDE w:val="0"/>
              <w:autoSpaceDN w:val="0"/>
              <w:bidi w:val="0"/>
              <w:adjustRightInd/>
              <w:snapToGrid/>
              <w:spacing w:line="228"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2.在人员管理方面应当做好以下工作：</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1</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明确各岗位食品安全管理责任，主要负责人知晓食品安全责任；</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2</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配备专职食品安全管理员，并加强对其培训和考核。经考核不具备食品安全管理能力的，不得上岗；</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3</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不得聘用禁聘人员从事食品安全管理工作；</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4</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建立并执行从业人员健康管理制度，从事接触直接入口食品工作的食品生产经营人员应当每年进行健康检查，取得健康证明后方可上岗工作；</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5</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建立从业人员健康档案，每日应对从业人员进行岗前健康检查并做好记录。从业人员的健康证明应当在显著位置统一公示；</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6</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每年组织从业人员进行食品安全知识培训，有完整的从业人员食品安全培训记录和能力考核记录；</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7</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每年都应当按规定组织食品安全管理人员进行食品安全知识培训，并对其食品安全管理能力进行考核；</w:t>
            </w:r>
            <w:r>
              <w:rPr>
                <w:rFonts w:hint="eastAsia" w:ascii="Times New Roman" w:hAnsi="Times New Roman" w:eastAsia="方正楷体_GBK" w:cs="Times New Roman"/>
                <w:sz w:val="16"/>
                <w:szCs w:val="16"/>
                <w:lang w:eastAsia="zh-CN"/>
              </w:rPr>
              <w:t>（</w:t>
            </w:r>
            <w:r>
              <w:rPr>
                <w:rFonts w:hint="eastAsia" w:ascii="Times New Roman" w:hAnsi="Times New Roman" w:eastAsia="方正楷体_GBK" w:cs="Times New Roman"/>
                <w:sz w:val="16"/>
                <w:szCs w:val="16"/>
                <w:lang w:val="en-US" w:eastAsia="zh-CN"/>
              </w:rPr>
              <w:t>8</w:t>
            </w:r>
            <w:r>
              <w:rPr>
                <w:rFonts w:hint="eastAsia" w:ascii="Times New Roman" w:hAnsi="Times New Roman" w:eastAsia="方正楷体_GBK" w:cs="Times New Roman"/>
                <w:sz w:val="16"/>
                <w:szCs w:val="16"/>
                <w:lang w:eastAsia="zh-CN"/>
              </w:rPr>
              <w:t>）</w:t>
            </w:r>
            <w:r>
              <w:rPr>
                <w:rFonts w:hint="default" w:ascii="Times New Roman" w:hAnsi="Times New Roman" w:eastAsia="方正楷体_GBK" w:cs="Times New Roman"/>
                <w:sz w:val="16"/>
                <w:szCs w:val="16"/>
              </w:rPr>
              <w:t>从业人员穿戴清洁的工作衣帽，双手清洁，保持个人卫生，专间和专用操作场所内的操作人员还应当穿戴专用工作服，并佩戴口罩。</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56" w:hRule="atLeast"/>
        </w:trPr>
        <w:tc>
          <w:tcPr>
            <w:tcW w:w="653" w:type="dxa"/>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17</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食品经营者应当履行进货查验义务</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1.食品经营者采购食品，未查验供货者的许可证和食品出厂检验合格证或其他合格证明</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eastAsia" w:ascii="Times New Roman" w:hAnsi="Times New Roman" w:eastAsia="方正楷体_GBK" w:cs="Times New Roman"/>
                <w:sz w:val="16"/>
                <w:szCs w:val="16"/>
                <w:lang w:eastAsia="zh-CN"/>
              </w:rPr>
            </w:pPr>
            <w:r>
              <w:rPr>
                <w:rFonts w:hint="default" w:ascii="Times New Roman" w:hAnsi="Times New Roman" w:eastAsia="方正楷体_GBK" w:cs="Times New Roman"/>
                <w:sz w:val="16"/>
                <w:szCs w:val="16"/>
              </w:rPr>
              <w:t>2.食品经营企业未建立食品进货查验记录制度，或记录和凭证保存期限少于产品保质期满后六个月，没有明确保质期的保存期限少于二年</w:t>
            </w:r>
            <w:r>
              <w:rPr>
                <w:rFonts w:hint="eastAsia" w:ascii="Times New Roman" w:hAnsi="Times New Roman" w:eastAsia="方正楷体_GBK" w:cs="Times New Roman"/>
                <w:sz w:val="16"/>
                <w:szCs w:val="16"/>
                <w:lang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3.食品添加剂经营者未建立食品添加剂进货查验记录制度，或记录和凭证保存期限少于产品保质期满后六个月，没有明确保质期的保存期限少于二年。</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【法律】《中华人民共和国食品安全法》（2021修正）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第五十三条第一款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食品经营者采购食品，应当查验供货者的许可证和食品出厂检验合格证或者其他合格证明（以下称合格证明文件）。</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第五十三条第二款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第五十三条第四款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第一百二十六条第一款</w:t>
            </w:r>
            <w:r>
              <w:rPr>
                <w:rFonts w:hint="eastAsia" w:ascii="Times New Roman" w:hAnsi="Times New Roman" w:eastAsia="方正楷体_GBK" w:cs="Times New Roman"/>
                <w:sz w:val="16"/>
                <w:szCs w:val="16"/>
                <w:lang w:val="en-US" w:eastAsia="zh-CN"/>
              </w:rPr>
              <w:t xml:space="preserve">第（三）项  </w:t>
            </w:r>
            <w:r>
              <w:rPr>
                <w:rFonts w:hint="default" w:ascii="Times New Roman" w:hAnsi="Times New Roman" w:eastAsia="方正楷体_GBK" w:cs="Times New Roman"/>
                <w:sz w:val="16"/>
                <w:szCs w:val="16"/>
                <w:lang w:val="en-US" w:eastAsia="zh-CN"/>
              </w:rPr>
              <w:t>违反本法规定，有下列情形之一的，由县级以上人民政府食品安全监督管理部门责令改正，给予警告；拒不改正的，处五千元以上五万元以下罚款；情节严重的，责令停产停业，直至吊销许可证：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（三）食品、食品添加剂生产经营者进货时未查验许可证和相关证明文件，或者未按规定建立并遵守进货查验记录、出厂检验记录和销售记录制度；</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8"/>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rPr>
            </w:pPr>
            <w:r>
              <w:rPr>
                <w:rFonts w:hint="default" w:ascii="Times New Roman" w:hAnsi="Times New Roman" w:eastAsia="方正楷体_GBK" w:cs="Times New Roman"/>
              </w:rPr>
              <w:t>1.应当建立食品进货查验记录制度，明确进货查验的方式、内容、项目、负责人、记录方式内容、相关记录和凭证保存等要求。</w:t>
            </w:r>
          </w:p>
          <w:p>
            <w:pPr>
              <w:pStyle w:val="18"/>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rPr>
            </w:pPr>
            <w:r>
              <w:rPr>
                <w:rFonts w:hint="default" w:ascii="Times New Roman" w:hAnsi="Times New Roman" w:eastAsia="方正楷体_GBK" w:cs="Times New Roman"/>
              </w:rPr>
              <w:t>2.应当查验供货者的许可证和食品出厂检验合格证或者其他合格证明：（1）</w:t>
            </w:r>
            <w:r>
              <w:rPr>
                <w:rFonts w:hint="default" w:ascii="Times New Roman" w:hAnsi="Times New Roman" w:eastAsia="方正楷体_GBK" w:cs="Times New Roman"/>
                <w:lang w:val="en-US" w:eastAsia="zh-CN"/>
              </w:rPr>
              <w:t>从事</w:t>
            </w:r>
            <w:r>
              <w:rPr>
                <w:rFonts w:hint="default" w:ascii="Times New Roman" w:hAnsi="Times New Roman" w:eastAsia="方正楷体_GBK" w:cs="Times New Roman"/>
              </w:rPr>
              <w:t>从生产单位采购食品、食品添加剂的，查看其食品、食品添加剂生产许可证或其复印件，查看生产单位出具的食品出厂检验合格证，或检验机构出具的检验合格报告等其他合格证明。采购散装熟食制品的，还应当查验挂钩生产单位签订合作协议（合同）</w:t>
            </w:r>
            <w:r>
              <w:rPr>
                <w:rFonts w:hint="eastAsia" w:ascii="Times New Roman" w:hAnsi="Times New Roman" w:eastAsia="方正楷体_GBK" w:cs="Times New Roman"/>
                <w:lang w:eastAsia="zh-CN"/>
              </w:rPr>
              <w:t>；</w:t>
            </w:r>
            <w:r>
              <w:rPr>
                <w:rFonts w:hint="default" w:ascii="Times New Roman" w:hAnsi="Times New Roman" w:eastAsia="方正楷体_GBK" w:cs="Times New Roman"/>
              </w:rPr>
              <w:t>（2）</w:t>
            </w:r>
            <w:r>
              <w:rPr>
                <w:rFonts w:hint="default" w:ascii="Times New Roman" w:hAnsi="Times New Roman" w:eastAsia="方正楷体_GBK" w:cs="Times New Roman"/>
                <w:lang w:val="en-US" w:eastAsia="zh-CN"/>
              </w:rPr>
              <w:t>从事</w:t>
            </w:r>
            <w:r>
              <w:rPr>
                <w:rFonts w:hint="default" w:ascii="Times New Roman" w:hAnsi="Times New Roman" w:eastAsia="方正楷体_GBK" w:cs="Times New Roman"/>
              </w:rPr>
              <w:t>经营单位采购食品的，查看其食品经营许可证或其复印件，查看食品出厂检验合格证或检验合格报告等其他合格证明。采购进口食品，还应当查看海关出具的入境货物检验检疫证明，应做到每一批次货证相符</w:t>
            </w:r>
            <w:r>
              <w:rPr>
                <w:rFonts w:hint="eastAsia" w:ascii="Times New Roman" w:hAnsi="Times New Roman" w:eastAsia="方正楷体_GBK" w:cs="Times New Roman"/>
                <w:lang w:eastAsia="zh-CN"/>
              </w:rPr>
              <w:t>；</w:t>
            </w:r>
            <w:r>
              <w:rPr>
                <w:rFonts w:hint="default" w:ascii="Times New Roman" w:hAnsi="Times New Roman" w:eastAsia="方正楷体_GBK" w:cs="Times New Roman"/>
              </w:rPr>
              <w:t>（3）</w:t>
            </w:r>
            <w:r>
              <w:rPr>
                <w:rFonts w:hint="default" w:ascii="Times New Roman" w:hAnsi="Times New Roman" w:eastAsia="方正楷体_GBK" w:cs="Times New Roman"/>
                <w:lang w:val="en-US" w:eastAsia="zh-CN"/>
              </w:rPr>
              <w:t>从事</w:t>
            </w:r>
            <w:r>
              <w:rPr>
                <w:rFonts w:hint="default" w:ascii="Times New Roman" w:hAnsi="Times New Roman" w:eastAsia="方正楷体_GBK" w:cs="Times New Roman"/>
              </w:rPr>
              <w:t>经营单位采购食品添加剂的，查看其营业执照，查看产品合格证明文件</w:t>
            </w:r>
            <w:r>
              <w:rPr>
                <w:rFonts w:hint="eastAsia" w:ascii="Times New Roman" w:hAnsi="Times New Roman" w:eastAsia="方正楷体_GBK" w:cs="Times New Roman"/>
                <w:lang w:eastAsia="zh-CN"/>
              </w:rPr>
              <w:t>；</w:t>
            </w:r>
            <w:r>
              <w:rPr>
                <w:rFonts w:hint="default" w:ascii="Times New Roman" w:hAnsi="Times New Roman" w:eastAsia="方正楷体_GBK" w:cs="Times New Roman"/>
              </w:rPr>
              <w:t>（4）采购食用农产品，</w:t>
            </w:r>
            <w:r>
              <w:rPr>
                <w:rFonts w:hint="default" w:ascii="Times New Roman" w:hAnsi="Times New Roman" w:eastAsia="方正楷体_GBK" w:cs="Times New Roman"/>
                <w:lang w:val="en-US" w:eastAsia="zh-CN"/>
              </w:rPr>
              <w:t>从事</w:t>
            </w:r>
            <w:r>
              <w:rPr>
                <w:rFonts w:hint="default" w:ascii="Times New Roman" w:hAnsi="Times New Roman" w:eastAsia="方正楷体_GBK" w:cs="Times New Roman"/>
              </w:rPr>
              <w:t>食用农产品生产者、收购者、屠宰厂（场）采购的，查验购货凭证、合格证明文件等；</w:t>
            </w:r>
            <w:r>
              <w:rPr>
                <w:rFonts w:hint="default" w:ascii="Times New Roman" w:hAnsi="Times New Roman" w:eastAsia="方正楷体_GBK" w:cs="Times New Roman"/>
                <w:lang w:val="en-US" w:eastAsia="zh-CN"/>
              </w:rPr>
              <w:t>从事</w:t>
            </w:r>
            <w:r>
              <w:rPr>
                <w:rFonts w:hint="default" w:ascii="Times New Roman" w:hAnsi="Times New Roman" w:eastAsia="方正楷体_GBK" w:cs="Times New Roman"/>
              </w:rPr>
              <w:t>批发市场采购的，查验该市场或市场经营户出具的销售凭证。采购按照规定需要检疫和肉品品质检验的肉类，还需查验有关检验检疫合格证明。采购进口食用农产品，还应当查验入境货物检验检疫证明等证明文件</w:t>
            </w:r>
            <w:r>
              <w:rPr>
                <w:rFonts w:hint="eastAsia" w:ascii="Times New Roman" w:hAnsi="Times New Roman" w:eastAsia="方正楷体_GBK" w:cs="Times New Roman"/>
                <w:lang w:eastAsia="zh-CN"/>
              </w:rPr>
              <w:t>；（</w:t>
            </w:r>
            <w:r>
              <w:rPr>
                <w:rFonts w:hint="eastAsia" w:ascii="Times New Roman" w:hAnsi="Times New Roman" w:eastAsia="方正楷体_GBK" w:cs="Times New Roman"/>
                <w:lang w:val="en-US" w:eastAsia="zh-CN"/>
              </w:rPr>
              <w:t>5</w:t>
            </w:r>
            <w:r>
              <w:rPr>
                <w:rFonts w:hint="eastAsia" w:ascii="Times New Roman" w:hAnsi="Times New Roman" w:eastAsia="方正楷体_GBK" w:cs="Times New Roman"/>
                <w:lang w:eastAsia="zh-CN"/>
              </w:rPr>
              <w:t>）</w:t>
            </w:r>
            <w:r>
              <w:rPr>
                <w:rFonts w:hint="default" w:ascii="Times New Roman" w:hAnsi="Times New Roman" w:eastAsia="方正楷体_GBK" w:cs="Times New Roman"/>
              </w:rPr>
              <w:t>外包装核酸检测证明和业经消毒证明，或具有集中监管仓的出仓证明。</w:t>
            </w:r>
          </w:p>
          <w:p>
            <w:pPr>
              <w:pStyle w:val="18"/>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rPr>
            </w:pPr>
            <w:r>
              <w:rPr>
                <w:rFonts w:hint="default" w:ascii="Times New Roman" w:hAnsi="Times New Roman" w:eastAsia="方正楷体_GBK" w:cs="Times New Roman"/>
              </w:rPr>
              <w:t>3.应当查验所采购食品、食品添加剂的感官性状等质量安全状况。</w:t>
            </w:r>
          </w:p>
          <w:p>
            <w:pPr>
              <w:pStyle w:val="18"/>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rPr>
            </w:pPr>
            <w:r>
              <w:rPr>
                <w:rFonts w:hint="default" w:ascii="Times New Roman" w:hAnsi="Times New Roman" w:eastAsia="方正楷体_GBK" w:cs="Times New Roman"/>
              </w:rPr>
              <w:t>4.应当记录所采购食品、食品添加剂的名称、规格、数量、生产日期或者生产批号、保质期、进货日期以及供货者名称、地址、联系方式等内容，并保存相关凭证，以确保产品可追溯、责任可追究。</w:t>
            </w:r>
          </w:p>
          <w:p>
            <w:pPr>
              <w:pStyle w:val="18"/>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rPr>
              <w:t>5.记录和凭证保存期限不得少于产品保质期满后六个月；没有明确保质期的，保存期限不得少于二年（从进货日起计）。进货查验资料应当及时更新。许可证、合格证明文件等相关资料应在有效期内。</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食品经营安全监督管理科</w:t>
            </w:r>
            <w:r>
              <w:rPr>
                <w:rFonts w:hint="default" w:ascii="Times New Roman" w:hAnsi="Times New Roman" w:eastAsia="方正楷体_GBK" w:cs="Times New Roman"/>
                <w:sz w:val="16"/>
                <w:szCs w:val="16"/>
                <w:lang w:val="en-US" w:eastAsia="zh-CN"/>
              </w:rPr>
              <w:t>81170067</w:t>
            </w:r>
          </w:p>
        </w:tc>
      </w:tr>
    </w:tbl>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9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18</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符合从业人员健康管理法律要求</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安排患有国务院卫生行政部门规定的有碍食品安全疾病的人员从事接触直接入口食品的工作</w:t>
            </w:r>
            <w:r>
              <w:rPr>
                <w:rFonts w:hint="eastAsia" w:ascii="Times New Roman" w:hAnsi="Times New Roman" w:eastAsia="方正楷体_GBK" w:cs="Times New Roman"/>
                <w:sz w:val="16"/>
                <w:szCs w:val="16"/>
                <w:lang w:val="en-US"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安排未取得健康证明的人员从事接触直接入口食品的工作。</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食品生产经营者应当建立并执行从业人员健康管理制度。患有国务院卫生行政部门规定的有碍食品安全疾病的人员，不得从事接触直接入口食品的工作。</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第四十五条第二款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从事接触直接入口食品工作的食品生产经营人员应当每年进行健康检查，取得健康证明后方可上岗工作。</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第一百二十六条第一款</w:t>
            </w:r>
            <w:r>
              <w:rPr>
                <w:rFonts w:hint="eastAsia" w:ascii="Times New Roman" w:hAnsi="Times New Roman" w:eastAsia="方正楷体_GBK" w:cs="Times New Roman"/>
                <w:sz w:val="16"/>
                <w:szCs w:val="16"/>
                <w:lang w:val="en-US" w:eastAsia="zh-CN"/>
              </w:rPr>
              <w:t xml:space="preserve">第（六）项  </w:t>
            </w:r>
            <w:r>
              <w:rPr>
                <w:rFonts w:hint="default" w:ascii="Times New Roman" w:hAnsi="Times New Roman" w:eastAsia="方正楷体_GBK" w:cs="Times New Roman"/>
                <w:sz w:val="16"/>
                <w:szCs w:val="16"/>
                <w:lang w:val="en-US" w:eastAsia="zh-CN"/>
              </w:rPr>
              <w:t>违反本法规定，有下列情形之一的，由县级以上人民政府食品安全监督管理部门责令改正，给予警告；拒不改正的，处五千元以上五万元以下罚款；情节严重的，责令停产停业，直至吊销许可证：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（六）食品生产经营者安排未取得健康证明或者患有国务院卫生行政部门规定的有碍食品安全疾病的人员从事接触直接入口食品的工作；</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8"/>
              <w:ind w:firstLine="320" w:firstLineChars="200"/>
              <w:jc w:val="both"/>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应当建立从业人员健康管理制度，明确并落实以下主要内容：</w:t>
            </w:r>
          </w:p>
          <w:p>
            <w:pPr>
              <w:pStyle w:val="18"/>
              <w:ind w:firstLine="320" w:firstLineChars="200"/>
              <w:jc w:val="both"/>
              <w:rPr>
                <w:rFonts w:hint="default"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t>（一）</w:t>
            </w:r>
            <w:r>
              <w:rPr>
                <w:rFonts w:hint="default" w:ascii="Times New Roman" w:hAnsi="Times New Roman" w:eastAsia="方正楷体_GBK" w:cs="Times New Roman"/>
                <w:lang w:val="en-US" w:eastAsia="zh-CN"/>
              </w:rPr>
              <w:t>从业人员健康情况的检查方式、频次和负责人员；</w:t>
            </w:r>
          </w:p>
          <w:p>
            <w:pPr>
              <w:pStyle w:val="18"/>
              <w:ind w:firstLine="320" w:firstLineChars="200"/>
              <w:jc w:val="both"/>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w:t>
            </w:r>
            <w:r>
              <w:rPr>
                <w:rFonts w:hint="eastAsia" w:ascii="Times New Roman" w:hAnsi="Times New Roman" w:eastAsia="方正楷体_GBK" w:cs="Times New Roman"/>
                <w:lang w:val="en-US" w:eastAsia="zh-CN"/>
              </w:rPr>
              <w:t>二</w:t>
            </w:r>
            <w:r>
              <w:rPr>
                <w:rFonts w:hint="default" w:ascii="Times New Roman" w:hAnsi="Times New Roman" w:eastAsia="方正楷体_GBK" w:cs="Times New Roman"/>
                <w:lang w:val="en-US" w:eastAsia="zh-CN"/>
              </w:rPr>
              <w:t>）从事接触直接入口食品工作的人员应当每年进行健康体检，取得健康证明后方可上岗工作。对餐饮、制售和销售直接入口散装食品的从业人员，应当在每天上岗前对其进行健康状况检查并记录检查情况。鼓励对其他从业人员进行每日上岗前健康检查；</w:t>
            </w:r>
          </w:p>
          <w:p>
            <w:pPr>
              <w:pStyle w:val="18"/>
              <w:ind w:firstLine="320" w:firstLineChars="200"/>
              <w:jc w:val="both"/>
              <w:rPr>
                <w:rFonts w:hint="default" w:ascii="Times New Roman" w:hAnsi="Times New Roman" w:eastAsia="方正楷体_GBK" w:cs="Times New Roman"/>
                <w:lang w:val="en-US" w:eastAsia="zh-CN"/>
              </w:rPr>
            </w:pPr>
            <w:r>
              <w:rPr>
                <w:rFonts w:hint="default" w:ascii="Times New Roman" w:hAnsi="Times New Roman" w:eastAsia="方正楷体_GBK" w:cs="Times New Roman"/>
                <w:lang w:val="en-US" w:eastAsia="zh-CN"/>
              </w:rPr>
              <w:t>（</w:t>
            </w:r>
            <w:r>
              <w:rPr>
                <w:rFonts w:hint="eastAsia" w:ascii="Times New Roman" w:hAnsi="Times New Roman" w:eastAsia="方正楷体_GBK" w:cs="Times New Roman"/>
                <w:lang w:val="en-US" w:eastAsia="zh-CN"/>
              </w:rPr>
              <w:t>三</w:t>
            </w:r>
            <w:r>
              <w:rPr>
                <w:rFonts w:hint="default" w:ascii="Times New Roman" w:hAnsi="Times New Roman" w:eastAsia="方正楷体_GBK" w:cs="Times New Roman"/>
                <w:lang w:val="en-US" w:eastAsia="zh-CN"/>
              </w:rPr>
              <w:t>）健康证明应当在有效期内，且人证相一致；</w:t>
            </w:r>
          </w:p>
          <w:p>
            <w:pPr>
              <w:pStyle w:val="18"/>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lang w:val="en-US" w:eastAsia="zh-CN"/>
              </w:rPr>
              <w:t>（</w:t>
            </w:r>
            <w:r>
              <w:rPr>
                <w:rFonts w:hint="eastAsia" w:ascii="Times New Roman" w:hAnsi="Times New Roman" w:eastAsia="方正楷体_GBK" w:cs="Times New Roman"/>
                <w:lang w:val="en-US" w:eastAsia="zh-CN"/>
              </w:rPr>
              <w:t>四</w:t>
            </w:r>
            <w:r>
              <w:rPr>
                <w:rFonts w:hint="default" w:ascii="Times New Roman" w:hAnsi="Times New Roman" w:eastAsia="方正楷体_GBK" w:cs="Times New Roman"/>
                <w:lang w:val="en-US" w:eastAsia="zh-CN"/>
              </w:rPr>
              <w:t>）经营过程中的人员健康管理要求等。</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2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19</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食品生产经营者应当建立食品安全自查制度</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食品经营者未建立食品安全自查制度并定期对食品安全状况进行检查评价，或经营条件发生变化未按规定处理。</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第一百二十六条第一款</w:t>
            </w:r>
            <w:r>
              <w:rPr>
                <w:rFonts w:hint="eastAsia" w:ascii="Times New Roman" w:hAnsi="Times New Roman" w:eastAsia="方正楷体_GBK" w:cs="Times New Roman"/>
                <w:sz w:val="16"/>
                <w:szCs w:val="16"/>
                <w:lang w:val="en-US" w:eastAsia="zh-CN"/>
              </w:rPr>
              <w:t xml:space="preserve">第（十一）项  </w:t>
            </w:r>
            <w:r>
              <w:rPr>
                <w:rFonts w:hint="default" w:ascii="Times New Roman" w:hAnsi="Times New Roman" w:eastAsia="方正楷体_GBK" w:cs="Times New Roman"/>
                <w:sz w:val="16"/>
                <w:szCs w:val="16"/>
                <w:lang w:val="en-US" w:eastAsia="zh-CN"/>
              </w:rPr>
              <w:t>违反本法规定，有下列情形之一的，由县级以上人民政府食品安全监督管理部门责令改正，给予警告；拒不改正的，处五千元以上五万元以下罚款；情节严重的，责令停产停业，直至吊销许可证：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（十一）食品生产经营者未定期对食品安全状况进行检查评价，或者生产经营条件发生变化，未按规定处理；</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8"/>
              <w:ind w:firstLine="320" w:firstLineChars="200"/>
              <w:jc w:val="both"/>
              <w:rPr>
                <w:rFonts w:hint="default" w:ascii="Times New Roman" w:hAnsi="Times New Roman" w:eastAsia="方正楷体_GBK" w:cs="Times New Roman"/>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w:t>
            </w:r>
            <w:r>
              <w:rPr>
                <w:rFonts w:hint="default" w:ascii="Times New Roman" w:hAnsi="Times New Roman" w:eastAsia="方正楷体_GBK" w:cs="Times New Roman"/>
                <w:lang w:val="en-US" w:eastAsia="zh-CN"/>
              </w:rPr>
              <w:t>应当建立食品安全自查制度，明确自查的内容、人员、方式、频次、记录方式、整改要求等</w:t>
            </w:r>
            <w:r>
              <w:rPr>
                <w:rFonts w:hint="eastAsia" w:ascii="Times New Roman" w:hAnsi="Times New Roman" w:eastAsia="方正楷体_GBK" w:cs="Times New Roman"/>
                <w:lang w:val="en-US" w:eastAsia="zh-CN"/>
              </w:rPr>
              <w:t>。</w:t>
            </w:r>
          </w:p>
          <w:p>
            <w:pPr>
              <w:pStyle w:val="18"/>
              <w:ind w:firstLine="320" w:firstLineChars="200"/>
              <w:jc w:val="both"/>
              <w:rPr>
                <w:rFonts w:hint="default"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t>2.</w:t>
            </w:r>
            <w:r>
              <w:rPr>
                <w:rFonts w:hint="default" w:ascii="Times New Roman" w:hAnsi="Times New Roman" w:eastAsia="方正楷体_GBK" w:cs="Times New Roman"/>
                <w:lang w:val="en-US" w:eastAsia="zh-CN"/>
              </w:rPr>
              <w:t>餐饮单位按照《江苏省餐饮服务经营者食品安全自查指南》要求开展常规自查和全项目自查，食品销售单位按照自查制度规定，定期对食品安全状况进行自查评价</w:t>
            </w:r>
            <w:r>
              <w:rPr>
                <w:rFonts w:hint="eastAsia" w:ascii="Times New Roman" w:hAnsi="Times New Roman" w:eastAsia="方正楷体_GBK" w:cs="Times New Roman"/>
                <w:lang w:val="en-US" w:eastAsia="zh-CN"/>
              </w:rPr>
              <w:t>。</w:t>
            </w:r>
          </w:p>
          <w:p>
            <w:pPr>
              <w:pStyle w:val="18"/>
              <w:ind w:firstLine="320" w:firstLineChars="200"/>
              <w:jc w:val="both"/>
              <w:rPr>
                <w:rFonts w:hint="default"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t>3</w:t>
            </w:r>
            <w:r>
              <w:rPr>
                <w:rFonts w:hint="default" w:ascii="Times New Roman" w:hAnsi="Times New Roman" w:eastAsia="方正楷体_GBK" w:cs="Times New Roman"/>
                <w:lang w:val="en-US" w:eastAsia="zh-CN"/>
              </w:rPr>
              <w:t>.对自查（检查）发现的问题，逐项分析原因并立即进行整改</w:t>
            </w:r>
            <w:r>
              <w:rPr>
                <w:rFonts w:hint="eastAsia" w:ascii="Times New Roman" w:hAnsi="Times New Roman" w:eastAsia="方正楷体_GBK" w:cs="Times New Roman"/>
                <w:lang w:val="en-US" w:eastAsia="zh-CN"/>
              </w:rPr>
              <w:t>。</w:t>
            </w:r>
          </w:p>
          <w:p>
            <w:pPr>
              <w:pStyle w:val="18"/>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lang w:val="en-US" w:eastAsia="zh-CN"/>
              </w:rPr>
              <w:t>4</w:t>
            </w:r>
            <w:r>
              <w:rPr>
                <w:rFonts w:hint="default" w:ascii="Times New Roman" w:hAnsi="Times New Roman" w:eastAsia="方正楷体_GBK" w:cs="Times New Roman"/>
                <w:lang w:val="en-US" w:eastAsia="zh-CN"/>
              </w:rPr>
              <w:t>.有发生食品安全事故潜在风险的，应当立即停止食品经营活动，并向所在地县级人民政府市场监督管理部门报告。</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4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20</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应当做好变质、超过保质期或者回收的食品管理</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食品经营者未对变质、超过保质期或回收的食品进行显著标示或单独存放在有明确</w:t>
            </w:r>
            <w:r>
              <w:rPr>
                <w:rFonts w:hint="default" w:ascii="Times New Roman" w:hAnsi="Times New Roman" w:eastAsia="方正楷体_GBK" w:cs="Times New Roman"/>
                <w:sz w:val="16"/>
                <w:szCs w:val="16"/>
                <w:highlight w:val="none"/>
                <w:lang w:val="en-US" w:eastAsia="zh-CN"/>
              </w:rPr>
              <w:t>标志</w:t>
            </w:r>
            <w:r>
              <w:rPr>
                <w:rFonts w:hint="default" w:ascii="Times New Roman" w:hAnsi="Times New Roman" w:eastAsia="方正楷体_GBK" w:cs="Times New Roman"/>
                <w:sz w:val="16"/>
                <w:szCs w:val="16"/>
                <w:lang w:val="en-US" w:eastAsia="zh-CN"/>
              </w:rPr>
              <w:t>的场所，或未及时对上述食品采取无害化处理、销毁等措施并如实记录</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【行政法规】《中华人民共和国食品安全法实施条例》（2019修订）</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第二十九条第一款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食品生产经营者应当对变质、超过保质期或者回收的食品进行显著标示或者单独存放在有明确</w:t>
            </w:r>
            <w:r>
              <w:rPr>
                <w:rFonts w:hint="default" w:ascii="Times New Roman" w:hAnsi="Times New Roman" w:eastAsia="方正楷体_GBK" w:cs="Times New Roman"/>
                <w:sz w:val="16"/>
                <w:szCs w:val="16"/>
                <w:highlight w:val="none"/>
                <w:lang w:val="en-US" w:eastAsia="zh-CN"/>
              </w:rPr>
              <w:t>标志</w:t>
            </w:r>
            <w:r>
              <w:rPr>
                <w:rFonts w:hint="default" w:ascii="Times New Roman" w:hAnsi="Times New Roman" w:eastAsia="方正楷体_GBK" w:cs="Times New Roman"/>
                <w:sz w:val="16"/>
                <w:szCs w:val="16"/>
                <w:lang w:val="en-US" w:eastAsia="zh-CN"/>
              </w:rPr>
              <w:t>的场所，及时采取无害化处理、销毁等措施并如实记录。</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第六十九条</w:t>
            </w:r>
            <w:r>
              <w:rPr>
                <w:rFonts w:hint="eastAsia" w:ascii="Times New Roman" w:hAnsi="Times New Roman" w:eastAsia="方正楷体_GBK" w:cs="Times New Roman"/>
                <w:sz w:val="16"/>
                <w:szCs w:val="16"/>
                <w:lang w:val="en-US" w:eastAsia="zh-CN"/>
              </w:rPr>
              <w:t xml:space="preserve">第（三）项  </w:t>
            </w:r>
            <w:r>
              <w:rPr>
                <w:rFonts w:hint="default" w:ascii="Times New Roman" w:hAnsi="Times New Roman" w:eastAsia="方正楷体_GBK" w:cs="Times New Roman"/>
                <w:sz w:val="16"/>
                <w:szCs w:val="16"/>
                <w:lang w:val="en-US" w:eastAsia="zh-CN"/>
              </w:rPr>
              <w:t>有下列情形之一的，依照食品安全法第一百二十六条第一款、本条例第七十五条的规定给予处罚：</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（三）食品生产经营者未按照规定对变质、超过保质期或者回收的食品进行标示或者存放，或者未及时对上述食品采取无害化处理、销毁等措施并如实记录；</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8"/>
              <w:ind w:firstLine="320" w:firstLineChars="200"/>
              <w:jc w:val="both"/>
              <w:rPr>
                <w:rFonts w:hint="default" w:ascii="Times New Roman" w:hAnsi="Times New Roman" w:eastAsia="方正楷体_GBK" w:cs="Times New Roman"/>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w:t>
            </w:r>
            <w:r>
              <w:rPr>
                <w:rFonts w:hint="default" w:ascii="Times New Roman" w:hAnsi="Times New Roman" w:eastAsia="方正楷体_GBK" w:cs="Times New Roman"/>
                <w:lang w:val="en-US" w:eastAsia="zh-CN"/>
              </w:rPr>
              <w:t>在相对固定位置划分不合格食品区并明确标志，单独存放变质、超过保质期或者回收的食品，并对食品进行显著标示。</w:t>
            </w:r>
          </w:p>
          <w:p>
            <w:pPr>
              <w:pStyle w:val="18"/>
              <w:ind w:firstLine="320" w:firstLineChars="200"/>
              <w:jc w:val="both"/>
              <w:rPr>
                <w:rFonts w:hint="default"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t>2</w:t>
            </w:r>
            <w:r>
              <w:rPr>
                <w:rFonts w:hint="default" w:ascii="Times New Roman" w:hAnsi="Times New Roman" w:eastAsia="方正楷体_GBK" w:cs="Times New Roman"/>
                <w:lang w:val="en-US" w:eastAsia="zh-CN"/>
              </w:rPr>
              <w:t>.应当按规定采取补救、无害化处理、销毁等处置措施并如实记录。</w:t>
            </w:r>
          </w:p>
          <w:p>
            <w:pPr>
              <w:pStyle w:val="18"/>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lang w:val="en-US" w:eastAsia="zh-CN"/>
              </w:rPr>
              <w:t>3</w:t>
            </w:r>
            <w:r>
              <w:rPr>
                <w:rFonts w:hint="default" w:ascii="Times New Roman" w:hAnsi="Times New Roman" w:eastAsia="方正楷体_GBK" w:cs="Times New Roman"/>
                <w:lang w:val="en-US" w:eastAsia="zh-CN"/>
              </w:rPr>
              <w:t>.对违法添加非食用物质、腐败变质、病死畜禽等严重危害人体健康和生命安全的不安全食品，应当立即就地销毁。不具备就地销毁条件的，可由不安全食品生产经营者集中销毁处理。</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bl>
    <w:p>
      <w:pPr>
        <w:pStyle w:val="18"/>
        <w:spacing w:line="240" w:lineRule="auto"/>
        <w:ind w:firstLine="0"/>
        <w:jc w:val="both"/>
        <w:rPr>
          <w:rFonts w:hint="eastAsia" w:ascii="Times New Roman" w:hAnsi="Times New Roman" w:eastAsia="方正楷体_GBK" w:cs="Times New Roman"/>
          <w:lang w:val="en-US" w:eastAsia="zh-CN"/>
        </w:rPr>
      </w:pPr>
    </w:p>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8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21</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食品经营者用水应当符合国家规定的生活饮用水卫生标准</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食品经营者用水不符合国家规定的生活饮用水卫生标准。</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第三十三条第一款</w:t>
            </w:r>
            <w:r>
              <w:rPr>
                <w:rFonts w:hint="eastAsia" w:ascii="Times New Roman" w:hAnsi="Times New Roman" w:eastAsia="方正楷体_GBK" w:cs="Times New Roman"/>
                <w:sz w:val="16"/>
                <w:szCs w:val="16"/>
                <w:lang w:val="en-US" w:eastAsia="zh-CN"/>
              </w:rPr>
              <w:t xml:space="preserve">第（九）项  </w:t>
            </w:r>
            <w:r>
              <w:rPr>
                <w:rFonts w:hint="default" w:ascii="Times New Roman" w:hAnsi="Times New Roman" w:eastAsia="方正楷体_GBK" w:cs="Times New Roman"/>
                <w:sz w:val="16"/>
                <w:szCs w:val="16"/>
                <w:lang w:val="en-US" w:eastAsia="zh-CN"/>
              </w:rPr>
              <w:t>食品生产经营应当符合食品安全标准，并符合下列要求：</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（九）用水应当符合国家规定的生活饮用水卫生标准；</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第一百二十六条第一款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违反本法规定，有下列情形之一的，由县级以上人民政府食品安全监督管理部门责令改正，给予警告；拒不改正的，处五千元以上五万元以下罚款；情节严重的，责令停产停业，直至吊销许可证。</w:t>
            </w:r>
          </w:p>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【行政法规】《中华人民共和国食品安全法实施条例》（2019修订）</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第七十条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除食品安全法第一百二十五条第一款、第一百二十六条规定的情形外，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食品经营者使用非城市管网供水的经营者，应当确保用水符合生活饮用水卫生标准。</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89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22</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食品经营者使用的洗涤剂、消毒剂应当对人体安全、无害</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食品经营者未使用对人体安全、无害的洗涤剂、消毒剂。</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第三十三条第一款</w:t>
            </w:r>
            <w:r>
              <w:rPr>
                <w:rFonts w:hint="eastAsia" w:ascii="Times New Roman" w:hAnsi="Times New Roman" w:eastAsia="方正楷体_GBK" w:cs="Times New Roman"/>
                <w:sz w:val="16"/>
                <w:szCs w:val="16"/>
                <w:lang w:val="en-US" w:eastAsia="zh-CN"/>
              </w:rPr>
              <w:t xml:space="preserve">第（十）项  </w:t>
            </w:r>
            <w:r>
              <w:rPr>
                <w:rFonts w:hint="default" w:ascii="Times New Roman" w:hAnsi="Times New Roman" w:eastAsia="方正楷体_GBK" w:cs="Times New Roman"/>
                <w:sz w:val="16"/>
                <w:szCs w:val="16"/>
                <w:lang w:val="en-US" w:eastAsia="zh-CN"/>
              </w:rPr>
              <w:t>食品生产经营应当符合食品安全标准，并符合下列要求：</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（十）使用的洗涤剂、消毒剂应当对人体安全、无害；</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第一百二十六条第一款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违反本法规定，有下列情形之一的，由县级以上人民政府食品安全监督管理部门责令改正，给予警告；拒不改正的，处五千元以上五万元以下罚款；情节严重的，责令停产停业，直至吊销许可证。</w:t>
            </w:r>
          </w:p>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【行政法规】《中华人民共和国食品安全法实施条例》（2019修订）</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第七十条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除食品安全法第一百二十五条第一款、第一百二十六条规定的情形外，食品生产经营者的生产经营行为不符合食品安全法第三十三条第一款第五项、第七项至第十项的规定，或者不符合有关食品生产经营过程要求的食品安全国家标准的，依照食品安全法第一百二十六条第一款、本条例第七十五条的规定给予处罚。</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食品经营者应当建立并执行洗涤剂、消毒剂采购、储存、使用管理制度，洗涤剂、消毒剂不得与食品原料混合存放。</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9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23</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集中交易市场的开办者、柜台出租者和展销会举办者，应当依法审查入场食品经营者的许可证，依法履行检查、报告等义务</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集中交易市场的开办者、柜台出租者、展销会的举办者允许未依法取得许可的食品经营者进入市场销售食品，或未履行检查、报告等义务。</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w:t>
            </w:r>
            <w:r>
              <w:rPr>
                <w:rFonts w:hint="eastAsia" w:ascii="方正楷体_GBK" w:hAnsi="方正楷体_GBK" w:eastAsia="方正楷体_GBK" w:cs="方正楷体_GBK"/>
                <w:sz w:val="16"/>
                <w:szCs w:val="16"/>
                <w:lang w:val="en-US" w:eastAsia="zh-CN"/>
              </w:rPr>
              <w:t>《中华人民共和国食品安全法》</w:t>
            </w:r>
            <w:r>
              <w:rPr>
                <w:rFonts w:hint="default" w:ascii="Times New Roman" w:hAnsi="Times New Roman" w:eastAsia="方正楷体_GBK" w:cs="Times New Roman"/>
                <w:sz w:val="16"/>
                <w:szCs w:val="16"/>
                <w:lang w:val="en-US" w:eastAsia="zh-CN"/>
              </w:rPr>
              <w:t>（2021修正）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第一百三十条第一款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bl>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trPr>
        <w:tc>
          <w:tcPr>
            <w:tcW w:w="653" w:type="dxa"/>
            <w:vAlign w:val="center"/>
          </w:tcPr>
          <w:p>
            <w:pPr>
              <w:pStyle w:val="16"/>
              <w:spacing w:before="1"/>
              <w:ind w:left="104" w:leftChars="0" w:right="87" w:rightChars="0"/>
              <w:jc w:val="center"/>
              <w:rPr>
                <w:rFonts w:hint="default" w:ascii="黑体" w:eastAsia="黑体"/>
                <w:b/>
                <w:sz w:val="20"/>
                <w:lang w:val="en-US" w:eastAsia="zh-CN"/>
              </w:rPr>
            </w:pPr>
            <w:r>
              <w:rPr>
                <w:rFonts w:hint="default" w:ascii="Times New Roman" w:hAnsi="Times New Roman" w:eastAsia="黑体" w:cs="Times New Roman"/>
                <w:b w:val="0"/>
                <w:bCs/>
                <w:sz w:val="16"/>
                <w:szCs w:val="16"/>
                <w:lang w:val="en-US" w:eastAsia="zh-CN"/>
              </w:rPr>
              <w:t>24</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食品贮存和运输需要符合法律要求</w:t>
            </w:r>
          </w:p>
        </w:tc>
        <w:tc>
          <w:tcPr>
            <w:tcW w:w="2326"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1.食品经营者贮存场所未保持环境整洁并与有毒、有害场所及其他污染源保持规定的距离</w:t>
            </w:r>
            <w:r>
              <w:rPr>
                <w:rFonts w:hint="eastAsia" w:ascii="Times New Roman" w:hAnsi="Times New Roman" w:eastAsia="方正楷体_GBK" w:cs="Times New Roman"/>
                <w:sz w:val="16"/>
                <w:szCs w:val="16"/>
                <w:lang w:val="en-US" w:eastAsia="zh-CN"/>
              </w:rPr>
              <w:t>；</w:t>
            </w:r>
          </w:p>
          <w:p>
            <w:pPr>
              <w:pStyle w:val="16"/>
              <w:bidi w:val="0"/>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2.贮存食品的容器、工具和设备未做到安全、无害并保持清洁，或不符合保证食品安全所需的温度、湿度等特殊要求，或将食品与有毒、有害物品一同贮存</w:t>
            </w:r>
            <w:r>
              <w:rPr>
                <w:rFonts w:hint="eastAsia" w:ascii="Times New Roman" w:hAnsi="Times New Roman" w:eastAsia="方正楷体_GBK" w:cs="Times New Roman"/>
                <w:sz w:val="16"/>
                <w:szCs w:val="16"/>
                <w:lang w:val="en-US" w:eastAsia="zh-CN"/>
              </w:rPr>
              <w:t>；</w:t>
            </w:r>
          </w:p>
          <w:p>
            <w:pPr>
              <w:pStyle w:val="16"/>
              <w:bidi w:val="0"/>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3.食品经营者未按保证食品安全的要求贮存食品，未定期检查库存并及时清理变质或超过保质期的食品</w:t>
            </w:r>
            <w:r>
              <w:rPr>
                <w:rFonts w:hint="eastAsia" w:ascii="Times New Roman" w:hAnsi="Times New Roman" w:eastAsia="方正楷体_GBK" w:cs="Times New Roman"/>
                <w:sz w:val="16"/>
                <w:szCs w:val="16"/>
                <w:lang w:val="en-US"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4.食品经营者贮存散装食品，未在贮存位置标明食品的名称、生产日期或生产批号、保质期、生产者名称及联系方式等内容。</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【法律】《中华人民共和国食品安全法》（2021修正）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第三十三条第一款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食品生产经营应当符合食品安全标准，并符合下列要求：</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（一）具有与生产经营的食品品种、数量相适应的食品原料处理和食品加工、包装、贮存等场所，保持该场所环境整洁，并与有毒、有害场所以及其他污染源保持规定的距离；</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（六）贮存、运输和装卸食品的容器、工具和设备应当安全、无害，保持清洁，防止食品污染，并符合保证食品安全所需的温度、湿度等特殊要求，不得将食品与有毒、有害物品一同贮存、运输；</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第五十四条第一款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食品经营者应当按照保证食品安全的要求贮存食品，定期检查库存食品，及时清理变质或者超过保质期的食品。</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第五十四条第二款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食品经营者贮存散装食品，应当在贮存位置标明食品的名称、生产日期或者生产批号、保质期、生产者名称及联系方式等内容。</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第一百三十二条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食品经营者在食品贮存管理中应当：</w:t>
            </w: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在经营场所外设置仓库（包括自有和租赁）的，应当向发证地市场监管部门报告，并在副本上载明仓库具体地址。外设仓库地址发生变化的，应当在变化后10 个工作日内向原发证</w:t>
            </w:r>
            <w:r>
              <w:rPr>
                <w:rFonts w:hint="default" w:ascii="Times New Roman" w:hAnsi="Times New Roman" w:eastAsia="方正楷体_GBK" w:cs="Times New Roman"/>
                <w:sz w:val="16"/>
                <w:szCs w:val="16"/>
                <w:highlight w:val="none"/>
                <w:lang w:val="en-US" w:eastAsia="zh-CN"/>
              </w:rPr>
              <w:t>的</w:t>
            </w:r>
            <w:r>
              <w:rPr>
                <w:rFonts w:hint="default" w:ascii="Times New Roman" w:hAnsi="Times New Roman" w:eastAsia="方正楷体_GBK" w:cs="Times New Roman"/>
                <w:sz w:val="16"/>
                <w:szCs w:val="16"/>
                <w:lang w:val="en-US" w:eastAsia="zh-CN"/>
              </w:rPr>
              <w:t>市场监管部门报告</w:t>
            </w: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委托贮存食品的，应当选择具有合法资质的贮存服务提供者，查验其资质情况、食品安全保障能力，并留存相关证明文件。委托非食品生产经营者贮存有温度、湿度等特殊要求食品的，还应当审查其备案情况；监督贮存服务提供者按照合同、协议等明确的保证食品安全的要求贮存食品，并留存监督记录；委托贮存冷藏冷冻食品的，还应当留存冷藏冷冻食品温度记录</w:t>
            </w: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食品与非食品、生食与熟食应当有适当的分隔措施、固定的存放位置和标识，贮存容器不得混用。不得将食品与有毒有害物品同库存放</w:t>
            </w:r>
            <w:r>
              <w:rPr>
                <w:rFonts w:hint="eastAsia" w:ascii="Times New Roman" w:hAnsi="Times New Roman" w:eastAsia="方正楷体_GBK" w:cs="Times New Roman"/>
                <w:sz w:val="16"/>
                <w:szCs w:val="16"/>
                <w:lang w:val="en-US" w:eastAsia="zh-CN"/>
              </w:rPr>
              <w:t>；（四）</w:t>
            </w:r>
            <w:r>
              <w:rPr>
                <w:rFonts w:hint="default" w:ascii="Times New Roman" w:hAnsi="Times New Roman" w:eastAsia="方正楷体_GBK" w:cs="Times New Roman"/>
                <w:sz w:val="16"/>
                <w:szCs w:val="16"/>
                <w:lang w:val="en-US" w:eastAsia="zh-CN"/>
              </w:rPr>
              <w:t>在散装食品贮存位置应当标明食品的名称、生产日期或者生产批号、保质期、生产者名称及联系方式等内容。</w:t>
            </w:r>
          </w:p>
          <w:p>
            <w:pPr>
              <w:pStyle w:val="16"/>
              <w:keepNext w:val="0"/>
              <w:keepLines w:val="0"/>
              <w:pageBreakBefore w:val="0"/>
              <w:widowControl w:val="0"/>
              <w:kinsoku/>
              <w:wordWrap/>
              <w:overflowPunct/>
              <w:topLinePunct w:val="0"/>
              <w:autoSpaceDE w:val="0"/>
              <w:autoSpaceDN w:val="0"/>
              <w:bidi w:val="0"/>
              <w:adjustRightInd/>
              <w:snapToGrid/>
              <w:spacing w:line="192"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食品经营者在食品运输管理中应当：</w:t>
            </w: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食品运输工具不得运输有毒有害物质，防止食品污染。食品不宜与非食品同车运输</w:t>
            </w: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运输工具和装卸食品的容器、工具和设备应保持清洁和定期消毒</w:t>
            </w: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同一运输工具运输不同食品时，应当做好分装、分离或分隔，防止交叉污染</w:t>
            </w:r>
            <w:r>
              <w:rPr>
                <w:rFonts w:hint="eastAsia" w:ascii="Times New Roman" w:hAnsi="Times New Roman" w:eastAsia="方正楷体_GBK" w:cs="Times New Roman"/>
                <w:sz w:val="16"/>
                <w:szCs w:val="16"/>
                <w:lang w:val="en-US" w:eastAsia="zh-CN"/>
              </w:rPr>
              <w:t>；（四）</w:t>
            </w:r>
            <w:r>
              <w:rPr>
                <w:rFonts w:hint="default" w:ascii="Times New Roman" w:hAnsi="Times New Roman" w:eastAsia="方正楷体_GBK" w:cs="Times New Roman"/>
                <w:sz w:val="16"/>
                <w:szCs w:val="16"/>
                <w:lang w:val="en-US" w:eastAsia="zh-CN"/>
              </w:rPr>
              <w:t>严格控制冷藏冷冻食品装卸货时间，装卸货期间食品温度升高幅度不超过3℃</w:t>
            </w:r>
            <w:r>
              <w:rPr>
                <w:rFonts w:hint="eastAsia" w:ascii="Times New Roman" w:hAnsi="Times New Roman" w:eastAsia="方正楷体_GBK" w:cs="Times New Roman"/>
                <w:sz w:val="16"/>
                <w:szCs w:val="16"/>
                <w:lang w:val="en-US" w:eastAsia="zh-CN"/>
              </w:rPr>
              <w:t>；（五）</w:t>
            </w:r>
            <w:r>
              <w:rPr>
                <w:rFonts w:hint="default" w:ascii="Times New Roman" w:hAnsi="Times New Roman" w:eastAsia="方正楷体_GBK" w:cs="Times New Roman"/>
                <w:sz w:val="16"/>
                <w:szCs w:val="16"/>
                <w:lang w:val="en-US" w:eastAsia="zh-CN"/>
              </w:rPr>
              <w:t>委托运输食品的，应当选择具有合法资质的运输服务提供者，查验其资质情况、食品安全保障能力，并留存相关证明文件；监督运输服务提供者按照合同、协议等明确的保证食品安全的要求运输食品，并留存监督记录；委托运输冷藏冷冻食品的，还应当留存冷藏冷冻食品温度记录。</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bl>
    <w:p>
      <w:pPr>
        <w:pStyle w:val="18"/>
        <w:spacing w:line="240" w:lineRule="auto"/>
        <w:ind w:firstLine="0"/>
        <w:jc w:val="both"/>
        <w:rPr>
          <w:rFonts w:hint="eastAsia" w:ascii="Times New Roman" w:hAnsi="Times New Roman" w:eastAsia="方正楷体_GBK" w:cs="Times New Roman"/>
          <w:lang w:val="en-US" w:eastAsia="zh-CN"/>
        </w:rPr>
      </w:pPr>
    </w:p>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68" w:hRule="atLeast"/>
        </w:trPr>
        <w:tc>
          <w:tcPr>
            <w:tcW w:w="653" w:type="dxa"/>
            <w:vAlign w:val="center"/>
          </w:tcPr>
          <w:p>
            <w:pPr>
              <w:pStyle w:val="16"/>
              <w:spacing w:before="1"/>
              <w:ind w:left="104" w:leftChars="0" w:right="87" w:rightChars="0"/>
              <w:jc w:val="center"/>
              <w:rPr>
                <w:rFonts w:hint="default" w:ascii="黑体" w:eastAsia="黑体"/>
                <w:b/>
                <w:sz w:val="20"/>
                <w:lang w:val="en-US" w:eastAsia="zh-CN"/>
              </w:rPr>
            </w:pPr>
            <w:r>
              <w:rPr>
                <w:rFonts w:hint="default" w:ascii="Times New Roman" w:hAnsi="Times New Roman" w:eastAsia="黑体" w:cs="Times New Roman"/>
                <w:b w:val="0"/>
                <w:bCs/>
                <w:sz w:val="16"/>
                <w:szCs w:val="16"/>
                <w:lang w:val="en-US" w:eastAsia="zh-CN"/>
              </w:rPr>
              <w:t>25</w:t>
            </w:r>
          </w:p>
        </w:tc>
        <w:tc>
          <w:tcPr>
            <w:tcW w:w="1354" w:type="dxa"/>
            <w:tcMar>
              <w:top w:w="0"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食品经营者应当配合行政执法部门日常监管</w:t>
            </w:r>
          </w:p>
        </w:tc>
        <w:tc>
          <w:tcPr>
            <w:tcW w:w="2326" w:type="dxa"/>
            <w:tcMar>
              <w:top w:w="0" w:type="dxa"/>
              <w:left w:w="57" w:type="dxa"/>
              <w:bottom w:w="0"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.食品经营者拒绝、阻挠、干涉监督检查；</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.食品经营者无正当理由拒绝、阻挠或干涉食品安全抽样检验、风险监测；</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lang w:val="en-US" w:eastAsia="zh-CN"/>
              </w:rPr>
              <w:t>.食品经营者收到监督抽检不合格检验结论后，无正当理由拒绝、阻挠或干涉调查处理。</w:t>
            </w:r>
          </w:p>
        </w:tc>
        <w:tc>
          <w:tcPr>
            <w:tcW w:w="5526" w:type="dxa"/>
            <w:tcMar>
              <w:top w:w="0" w:type="dxa"/>
              <w:left w:w="57" w:type="dxa"/>
              <w:bottom w:w="0"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【部门规章】《食品生产经营监督检查管理办法》</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食品生产经营者有下列拒绝、阻挠、干涉市场监督管理部门进行监督检查情形之一的，由县级以上市场监督管理部门依照食品安全法第一百三十三条第一款的规定进行处理：</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（一）拒绝、拖延、限制检查人员进入被检查场所或者区域的，或者限制检查时间的；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（二）拒绝或者限制抽取样品、录像、拍照和复印等调查取证工作的；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（三）无正当理由不提供或者延迟提供与检查相关的合同、记录、票据、账簿、电子数据等材料的；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（四）以主要负责人、主管人员或者相关工作人员不在岗为由，或者故意以停止生产经营等方式欺骗、误导、逃避检查的；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（五）以暴力、威胁等方法阻碍检查人员依法履行职责的；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（六）隐藏、转移、变卖、损毁检查人员依法查封、扣押的财物的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（七）伪造、隐匿、毁灭证据或者提供虚假情况的；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（八）其他妨碍检查人员履行职责的。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食品生产经营者拒绝、阻挠、干涉监督检查，违反治安管理处罚相关规定的，由市场监督管理部门依法移交公安机关处理。</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食品生产经营者以暴力、威胁等方法阻碍检查人员依法履行职责，涉嫌犯罪的，由市场监督管理部门依法移交公安机关处理。</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【部门规章】《食品安全抽样检验管理办法》（</w:t>
            </w:r>
            <w:r>
              <w:rPr>
                <w:rFonts w:hint="eastAsia" w:ascii="Times New Roman" w:hAnsi="Times New Roman" w:eastAsia="方正楷体_GBK" w:cs="Times New Roman"/>
                <w:sz w:val="16"/>
                <w:szCs w:val="16"/>
                <w:lang w:val="en-US" w:eastAsia="zh-CN"/>
              </w:rPr>
              <w:t>2022修正</w:t>
            </w:r>
            <w:r>
              <w:rPr>
                <w:rFonts w:hint="default"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食品生产经营者是食品安全第一责任人，应当依法配合市场监督管理部门组织实施的食品安全抽样检验工作。</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食品生产经营者收到监督抽检不合格检验结论后，应当立即采取封存不合格食品，暂停生产、经营不合格食品，通知相关生产经营者和消费者，召回已上市销售的</w:t>
            </w:r>
            <w:r>
              <w:rPr>
                <w:rFonts w:hint="default" w:ascii="Times New Roman" w:hAnsi="Times New Roman" w:eastAsia="方正楷体_GBK" w:cs="Times New Roman"/>
                <w:sz w:val="16"/>
                <w:szCs w:val="16"/>
                <w:highlight w:val="none"/>
                <w:lang w:val="en-US" w:eastAsia="zh-CN"/>
              </w:rPr>
              <w:t>不合格食品</w:t>
            </w:r>
            <w:r>
              <w:rPr>
                <w:rFonts w:hint="default" w:ascii="Times New Roman" w:hAnsi="Times New Roman" w:eastAsia="方正楷体_GBK" w:cs="Times New Roman"/>
                <w:sz w:val="16"/>
                <w:szCs w:val="16"/>
                <w:lang w:val="en-US" w:eastAsia="zh-CN"/>
              </w:rPr>
              <w:t>等风险控制措施，排查不合格原因并进行整改，及时向住所地市场监督管理部门报告处理情况，积极配合市场监督管理部门的调查处理，不得拒绝、逃避。</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第四十七条第一款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食品生产经营者违反本办法的规定，无正当理由拒绝、阻挠或者干涉食品安全抽样检验、风险监测和调查处理的，由县级以上人民政府市场监督管理部门依照食品安全法第一百三十三条第一款的规定处罚；违反治安管理处罚法有关规定的，由市场监督管理部门依法移交公安机关处理。</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【法律】《中华人民共和国食品安全法》（2021修正）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rPr>
              <w:t>第一百三十三条第一款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tc>
        <w:tc>
          <w:tcPr>
            <w:tcW w:w="750" w:type="dxa"/>
            <w:tcMar>
              <w:top w:w="0" w:type="dxa"/>
              <w:left w:w="57" w:type="dxa"/>
              <w:bottom w:w="0"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rPr>
              <w:t>★★</w:t>
            </w:r>
          </w:p>
        </w:tc>
        <w:tc>
          <w:tcPr>
            <w:tcW w:w="2631" w:type="dxa"/>
            <w:tcMar>
              <w:top w:w="0" w:type="dxa"/>
              <w:left w:w="57" w:type="dxa"/>
              <w:bottom w:w="0"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配合市场监管部门开展日常监督检查，保障监督检查人员依法履行职责。应当按照市场监管部门的要求，开放食品经营场所，回答相关询问，提供相关合同、票据、账簿和其他有关资料，协助现场检查和抽样检验。</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2.应当按照监督检查人员要求，在现场检查、询问和抽样检验等文书上签字或者盖章。</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3.食品经营过程中存在食品安全隐患，未及时采取措施消除的，市场监管部门需要对经营者法定代表人或主要负责人进行责任约谈的，应当予以配合，并立即采取措施，进行整改，消除隐患。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4.市场监管部门发现可能误导消费者和社会舆论的食品安全信息，需要组织食品经营者进行核实、分析的，应当予以配合。</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rPr>
              <w:t>5.发生食品安全事故的，食品安全事故调查部门有权向有关单位和个人了解与事故有关的情况，并要求提供相关资料和样品。有关单位和个人应当予以配合，按照要求提供相关资料和样品，不得拒绝。任何单位和个人不得阻挠、干涉食品安全事故的调查处理。</w:t>
            </w:r>
          </w:p>
        </w:tc>
        <w:tc>
          <w:tcPr>
            <w:tcW w:w="1117" w:type="dxa"/>
            <w:tcMar>
              <w:top w:w="0" w:type="dxa"/>
              <w:left w:w="57" w:type="dxa"/>
              <w:bottom w:w="0" w:type="dxa"/>
              <w:right w:w="57" w:type="dxa"/>
            </w:tcMar>
            <w:vAlign w:val="center"/>
          </w:tcPr>
          <w:p>
            <w:pPr>
              <w:pStyle w:val="18"/>
              <w:spacing w:line="240" w:lineRule="auto"/>
              <w:ind w:left="0" w:leftChars="0" w:right="0" w:rightChars="0" w:firstLine="0" w:firstLineChars="0"/>
              <w:jc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highlight w:val="none"/>
              </w:rPr>
              <w:t>食品生产安全监督管理科</w:t>
            </w:r>
            <w:r>
              <w:rPr>
                <w:rFonts w:hint="default" w:ascii="Times New Roman" w:hAnsi="Times New Roman" w:eastAsia="方正楷体_GBK" w:cs="Times New Roman"/>
                <w:highlight w:val="none"/>
                <w:lang w:val="en-US" w:eastAsia="zh-CN"/>
              </w:rPr>
              <w:t>81170089</w:t>
            </w:r>
          </w:p>
        </w:tc>
      </w:tr>
    </w:tbl>
    <w:p>
      <w:pPr>
        <w:pStyle w:val="18"/>
        <w:spacing w:line="240" w:lineRule="auto"/>
        <w:ind w:firstLine="0"/>
        <w:jc w:val="both"/>
        <w:rPr>
          <w:rFonts w:hint="eastAsia" w:ascii="Times New Roman" w:hAnsi="Times New Roman" w:eastAsia="方正楷体_GBK" w:cs="Times New Roman"/>
          <w:lang w:val="en-US" w:eastAsia="zh-CN"/>
        </w:rPr>
      </w:pPr>
    </w:p>
    <w:p>
      <w:pPr>
        <w:rPr>
          <w:rFonts w:hint="eastAsia" w:ascii="Times New Roman" w:hAnsi="Times New Roman" w:eastAsia="方正楷体_GBK" w:cs="Times New Roman"/>
          <w:lang w:val="en-US" w:eastAsia="zh-CN"/>
        </w:rPr>
      </w:pPr>
      <w:r>
        <w:rPr>
          <w:rFonts w:hint="eastAsia" w:ascii="Times New Roman" w:hAnsi="Times New Roman" w:eastAsia="方正楷体_GBK" w:cs="Times New Roman"/>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69" w:hRule="atLeast"/>
        </w:trPr>
        <w:tc>
          <w:tcPr>
            <w:tcW w:w="653" w:type="dxa"/>
            <w:vAlign w:val="center"/>
          </w:tcPr>
          <w:p>
            <w:pPr>
              <w:pStyle w:val="16"/>
              <w:bidi w:val="0"/>
              <w:jc w:val="center"/>
              <w:rPr>
                <w:rFonts w:hint="default" w:ascii="Times New Roman" w:hAnsi="Times New Roman" w:eastAsia="方正仿宋_GBK" w:cs="Times New Roman"/>
                <w:sz w:val="16"/>
                <w:szCs w:val="16"/>
                <w:lang w:val="en-US" w:eastAsia="zh-CN"/>
              </w:rPr>
            </w:pPr>
            <w:r>
              <w:rPr>
                <w:rFonts w:hint="default" w:ascii="Times New Roman" w:hAnsi="Times New Roman" w:eastAsia="方正仿宋_GBK" w:cs="Times New Roman"/>
                <w:sz w:val="16"/>
                <w:szCs w:val="16"/>
                <w:lang w:val="en-US" w:eastAsia="zh-CN"/>
              </w:rPr>
              <w:t>26</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网络食品交易第三方平台提供者责任</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网络食品交易第三方平台提供者未对入网食品经营者进行实名登记、审查许可证</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网络食品交易第三方平台提供者未对入网食品生产者的相关材料及信息进行审查登记、如实记录并更新</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lang w:val="en-US" w:eastAsia="zh-CN"/>
              </w:rPr>
              <w:t>网络食品交易第三方平台提供者发现入网食品经营者有违反《食品安全法》规定行为，未及时制止并立即报告所在地县级市场监管部门</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【法律】《中华人民共和国食品安全法》（2021修正）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网络食品交易第三方平台提供者应当对入网食品经营者进行实名登记，明确其食品安全管理责任；依法应当取得许可证的，还应当审查其许可证。</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第一百三十一条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【部门规章】《网络食品安全违法行为查处办法》（2021修改）</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第十一条第一款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网络食品交易第三方平台提供者应当对入网食品生产经营者食品生产经营许可证、入网食品添加剂生产企业生产许可证等材料进行审查，如实记录并及时更新。</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第三十二条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办法第十一条规定，网络食品交易第三方平台提供者未对入网食品生产经营者的相关材料及信息进行审查登记、如实记录并更新的，由县级以上地方市场监督管理部门依照食品安全法第一百三十一条的规定处罚。</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第三方平台提供者应当：</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建立入网食品经营者主体资质审查及其经营活动检查、交易管理规则、投诉举报处理、消费者赔偿等食品安全管理制度，并在平台上公开上述制度</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严格实施入网食品经营者实名登记、资质审查并进行现场核实，及时在网站更新食品经营许可证等资质证明材料；与入网食品经营者签订入网合同，明确其应遵守的食品安全责任</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按照监督管理部门的要求，提供入网食品经营者的有关信息</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（四）</w:t>
            </w:r>
            <w:r>
              <w:rPr>
                <w:rFonts w:hint="default" w:ascii="Times New Roman" w:hAnsi="Times New Roman" w:eastAsia="方正楷体_GBK" w:cs="Times New Roman"/>
                <w:sz w:val="16"/>
                <w:szCs w:val="16"/>
                <w:lang w:val="en-US" w:eastAsia="zh-CN"/>
              </w:rPr>
              <w:t>设立专职管理人员，对入网经营者实际加工地点与平台标示的地址是否一致进行核实，对其在平台上发布的食品安全信息进行核对</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（五）</w:t>
            </w:r>
            <w:r>
              <w:rPr>
                <w:rFonts w:hint="default" w:ascii="Times New Roman" w:hAnsi="Times New Roman" w:eastAsia="方正楷体_GBK" w:cs="Times New Roman"/>
                <w:sz w:val="16"/>
                <w:szCs w:val="16"/>
                <w:lang w:val="en-US" w:eastAsia="zh-CN"/>
              </w:rPr>
              <w:t>发现入网经营者存在超范围经营、发布虚假信息等违法行为及时主动制止</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发现入网经营者无证经营、经营禁止性食品、发生食品安全事故等严重违法行为</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立即停止提供网络交易服务。以上情况均及时向所在地市场监管部门报告。</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03" w:hRule="atLeast"/>
        </w:trPr>
        <w:tc>
          <w:tcPr>
            <w:tcW w:w="653" w:type="dxa"/>
            <w:vAlign w:val="center"/>
          </w:tcPr>
          <w:p>
            <w:pPr>
              <w:pStyle w:val="16"/>
              <w:bidi w:val="0"/>
              <w:jc w:val="center"/>
              <w:rPr>
                <w:rFonts w:hint="default" w:ascii="Times New Roman" w:hAnsi="Times New Roman" w:eastAsia="方正仿宋_GBK" w:cs="Times New Roman"/>
                <w:sz w:val="16"/>
                <w:szCs w:val="16"/>
                <w:lang w:val="en-US" w:eastAsia="zh-CN"/>
              </w:rPr>
            </w:pPr>
            <w:r>
              <w:rPr>
                <w:rFonts w:hint="default" w:ascii="Times New Roman" w:hAnsi="Times New Roman" w:eastAsia="方正仿宋_GBK" w:cs="Times New Roman"/>
                <w:sz w:val="16"/>
                <w:szCs w:val="16"/>
                <w:lang w:val="en-US" w:eastAsia="zh-CN"/>
              </w:rPr>
              <w:t>27</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入网经营者应当依法取得许可</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入网食品经营者超过许可的经营项目范围从事食品经营</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【部门规章】《网络食品安全违法行为查处办法》（2021修改）</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第十六条第一款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入网食品生产经营者应当依法取得许可，入网食品生产者应当按照许可的类别范围销售食品，入网食品经营者应当按照许可的经营项目范围从事食品经营。</w:t>
            </w:r>
            <w:r>
              <w:rPr>
                <w:rFonts w:hint="default" w:ascii="Times New Roman" w:hAnsi="Times New Roman" w:eastAsia="方正楷体_GBK" w:cs="Times New Roman"/>
                <w:sz w:val="16"/>
                <w:szCs w:val="16"/>
                <w:highlight w:val="none"/>
                <w:lang w:val="en-US" w:eastAsia="zh-CN"/>
              </w:rPr>
              <w:t>法律、法规</w:t>
            </w:r>
            <w:r>
              <w:rPr>
                <w:rFonts w:hint="default" w:ascii="Times New Roman" w:hAnsi="Times New Roman" w:eastAsia="方正楷体_GBK" w:cs="Times New Roman"/>
                <w:sz w:val="16"/>
                <w:szCs w:val="16"/>
                <w:lang w:val="en-US" w:eastAsia="zh-CN"/>
              </w:rPr>
              <w:t>规定不需要取得食品生产经营许可的除外。</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第三十八条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办法第十六条规定，入网食品生产经营者未依法取得食品生产经营许可的，或者入网食品生产者超过许可的类别范围销售食品、入网食品经营者超过许可的经营项目范围从事食品经营的，依照食品安全法第一百二十二条的规定处罚。</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入网食品经营者</w:t>
            </w:r>
            <w:r>
              <w:rPr>
                <w:rFonts w:hint="eastAsia" w:ascii="Times New Roman" w:hAnsi="Times New Roman" w:eastAsia="方正楷体_GBK" w:cs="Times New Roman"/>
                <w:sz w:val="16"/>
                <w:szCs w:val="16"/>
                <w:highlight w:val="none"/>
                <w:lang w:val="en-US" w:eastAsia="zh-CN"/>
              </w:rPr>
              <w:t>应当</w:t>
            </w:r>
            <w:r>
              <w:rPr>
                <w:rFonts w:hint="default" w:ascii="Times New Roman" w:hAnsi="Times New Roman" w:eastAsia="方正楷体_GBK" w:cs="Times New Roman"/>
                <w:sz w:val="16"/>
                <w:szCs w:val="16"/>
                <w:lang w:val="en-US" w:eastAsia="zh-CN"/>
              </w:rPr>
              <w:t>依法取得食品经营许可证，并按照食品经营许可证载明的主体业态、经营项目从事经营活动，不得超范围经营。</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bl>
    <w:p>
      <w:pPr>
        <w:pStyle w:val="16"/>
        <w:bidi w:val="0"/>
        <w:jc w:val="both"/>
        <w:rPr>
          <w:rFonts w:hint="eastAsia" w:ascii="方正楷体_GBK" w:hAnsi="方正楷体_GBK" w:eastAsia="方正楷体_GBK" w:cs="方正楷体_GBK"/>
          <w:sz w:val="16"/>
          <w:szCs w:val="16"/>
          <w:lang w:val="en-US" w:eastAsia="zh-CN"/>
        </w:rPr>
      </w:pPr>
    </w:p>
    <w:p>
      <w:pPr>
        <w:rPr>
          <w:rFonts w:hint="eastAsia" w:ascii="方正楷体_GBK" w:hAnsi="方正楷体_GBK" w:eastAsia="方正楷体_GBK" w:cs="方正楷体_GBK"/>
          <w:sz w:val="16"/>
          <w:szCs w:val="16"/>
          <w:lang w:val="en-US" w:eastAsia="zh-CN"/>
        </w:rPr>
      </w:pPr>
      <w:r>
        <w:rPr>
          <w:rFonts w:hint="eastAsia" w:ascii="方正楷体_GBK" w:hAnsi="方正楷体_GBK" w:eastAsia="方正楷体_GBK" w:cs="方正楷体_GBK"/>
          <w:sz w:val="16"/>
          <w:szCs w:val="16"/>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line="240" w:lineRule="auto"/>
              <w:ind w:left="104" w:leftChars="0" w:right="87" w:rightChars="0"/>
              <w:jc w:val="center"/>
              <w:rPr>
                <w:rFonts w:hint="default" w:ascii="黑体" w:eastAsia="黑体"/>
                <w:b/>
                <w:sz w:val="20"/>
                <w:lang w:val="en-US" w:eastAsia="zh-CN"/>
              </w:rPr>
            </w:pPr>
            <w:r>
              <w:rPr>
                <w:rFonts w:hint="default" w:ascii="Times New Roman" w:hAnsi="Times New Roman" w:eastAsia="黑体" w:cs="Times New Roman"/>
                <w:b w:val="0"/>
                <w:bCs/>
                <w:sz w:val="16"/>
                <w:szCs w:val="16"/>
                <w:lang w:val="en-US" w:eastAsia="zh-CN"/>
              </w:rPr>
              <w:t>28</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网络经营食品送餐者应尽义务</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送餐人员未履行使用安全、无害的配送容器等义务</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【部门规章】《网络餐饮服务食品安全监督管理办法》（2020修订）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送餐人员应当保持个人卫生，使用安全、无害的配送容器，保持容器清洁，并定期进行清洗消毒。送餐人员应当核对配送食品，保证配送过程食品不受污染。</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第三十五条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违反本办法第十四条规定，送餐人员未履行使用安全、无害的配送容器等义务的，由县级以上地方食品药品监督管理部门对送餐人员所在单位按照食品安全法第一百三十二条的规定处罚。</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从事送餐活动的第三方平台、餐饮服务单位和第三方物流应制定送餐管理制度，加强对送餐人员规范操作的培训和检查，确保送餐过程符合食品安全要求。</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食品经营安全监督管理科81170067</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pStyle w:val="16"/>
        <w:bidi w:val="0"/>
        <w:jc w:val="both"/>
        <w:rPr>
          <w:rFonts w:hint="eastAsia" w:ascii="方正楷体_GBK" w:hAnsi="方正楷体_GBK" w:eastAsia="方正楷体_GBK" w:cs="方正楷体_GBK"/>
          <w:sz w:val="16"/>
          <w:szCs w:val="16"/>
          <w:lang w:val="en-US" w:eastAsia="zh-CN"/>
        </w:rPr>
      </w:pPr>
    </w:p>
    <w:p>
      <w:pPr>
        <w:pStyle w:val="16"/>
        <w:bidi w:val="0"/>
        <w:jc w:val="both"/>
        <w:rPr>
          <w:rFonts w:hint="eastAsia" w:ascii="方正楷体_GBK" w:hAnsi="方正楷体_GBK" w:eastAsia="方正楷体_GBK" w:cs="方正楷体_GBK"/>
          <w:sz w:val="16"/>
          <w:szCs w:val="16"/>
          <w:lang w:val="en-US" w:eastAsia="zh-CN"/>
        </w:rPr>
      </w:pPr>
    </w:p>
    <w:p>
      <w:pPr>
        <w:pStyle w:val="16"/>
        <w:bidi w:val="0"/>
        <w:jc w:val="both"/>
        <w:rPr>
          <w:rFonts w:hint="eastAsia" w:ascii="方正楷体_GBK" w:hAnsi="方正楷体_GBK" w:eastAsia="方正楷体_GBK" w:cs="方正楷体_GBK"/>
          <w:sz w:val="16"/>
          <w:szCs w:val="16"/>
          <w:lang w:val="en-US" w:eastAsia="zh-CN"/>
        </w:rPr>
      </w:pPr>
    </w:p>
    <w:p>
      <w:pPr>
        <w:rPr>
          <w:rFonts w:hint="eastAsia" w:ascii="方正楷体_GBK" w:hAnsi="方正楷体_GBK" w:eastAsia="方正楷体_GBK" w:cs="方正楷体_GBK"/>
          <w:sz w:val="16"/>
          <w:szCs w:val="16"/>
          <w:lang w:val="en-US" w:eastAsia="zh-CN"/>
        </w:rPr>
      </w:pPr>
      <w:r>
        <w:rPr>
          <w:rFonts w:hint="eastAsia" w:ascii="方正楷体_GBK" w:hAnsi="方正楷体_GBK" w:eastAsia="方正楷体_GBK" w:cs="方正楷体_GBK"/>
          <w:sz w:val="16"/>
          <w:szCs w:val="16"/>
          <w:lang w:val="en-US" w:eastAsia="zh-CN"/>
        </w:rPr>
        <w:br w:type="page"/>
      </w:r>
    </w:p>
    <w:p>
      <w:pPr>
        <w:pStyle w:val="2"/>
        <w:bidi w:val="0"/>
        <w:ind w:left="0" w:leftChars="0" w:firstLine="0" w:firstLineChars="0"/>
        <w:jc w:val="center"/>
        <w:rPr>
          <w:rFonts w:hint="eastAsia" w:ascii="方正小标宋_GBK" w:hAnsi="方正小标宋_GBK" w:eastAsia="方正小标宋_GBK" w:cs="方正小标宋_GBK"/>
          <w:sz w:val="44"/>
          <w:szCs w:val="44"/>
          <w:lang w:val="en-US" w:eastAsia="zh-CN"/>
        </w:rPr>
      </w:pPr>
      <w:bookmarkStart w:id="11" w:name="_Toc9531"/>
      <w:r>
        <w:rPr>
          <w:rFonts w:hint="eastAsia" w:ascii="方正小标宋_GBK" w:hAnsi="方正小标宋_GBK" w:eastAsia="方正小标宋_GBK" w:cs="方正小标宋_GBK"/>
          <w:sz w:val="44"/>
          <w:szCs w:val="44"/>
          <w:lang w:val="en-US" w:eastAsia="zh-CN"/>
        </w:rPr>
        <w:t>无锡市滨湖区水利局涉企行政合规指导清单</w:t>
      </w:r>
      <w:bookmarkEnd w:id="11"/>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default" w:ascii="楷体" w:eastAsia="楷体"/>
          <w:sz w:val="28"/>
          <w:szCs w:val="28"/>
          <w:lang w:val="en-US" w:eastAsia="zh-CN"/>
        </w:rPr>
      </w:pPr>
      <w:r>
        <w:rPr>
          <w:rFonts w:hint="default" w:ascii="楷体" w:eastAsia="楷体"/>
          <w:sz w:val="28"/>
          <w:szCs w:val="28"/>
          <w:lang w:val="en-US" w:eastAsia="zh-CN"/>
        </w:rPr>
        <w:t>适用于</w:t>
      </w:r>
      <w:r>
        <w:rPr>
          <w:rFonts w:hint="eastAsia" w:ascii="楷体" w:eastAsia="楷体"/>
          <w:sz w:val="28"/>
          <w:szCs w:val="28"/>
          <w:lang w:val="en-US" w:eastAsia="zh-CN"/>
        </w:rPr>
        <w:t>取水和</w:t>
      </w:r>
      <w:r>
        <w:rPr>
          <w:rFonts w:hint="default" w:ascii="楷体" w:eastAsia="楷体"/>
          <w:sz w:val="28"/>
          <w:szCs w:val="28"/>
          <w:lang w:val="en-US" w:eastAsia="zh-CN"/>
        </w:rPr>
        <w:t>建设单位</w:t>
      </w:r>
      <w:r>
        <w:rPr>
          <w:rFonts w:hint="eastAsia" w:ascii="楷体" w:eastAsia="楷体"/>
          <w:sz w:val="28"/>
          <w:szCs w:val="28"/>
          <w:lang w:val="en-US" w:eastAsia="zh-CN"/>
        </w:rPr>
        <w:t>：</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0" w:hRule="atLeast"/>
        </w:trPr>
        <w:tc>
          <w:tcPr>
            <w:tcW w:w="653" w:type="dxa"/>
            <w:vAlign w:val="center"/>
          </w:tcPr>
          <w:p>
            <w:pPr>
              <w:pStyle w:val="16"/>
              <w:spacing w:before="1" w:line="240" w:lineRule="auto"/>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取水单位兴建取水工程或者设施应取得取水许可</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未取得取水申请批准文件擅自建设取水工程或者设施</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spacing w:line="240" w:lineRule="auto"/>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w:t>
            </w:r>
            <w:r>
              <w:rPr>
                <w:rFonts w:hint="eastAsia" w:ascii="Times New Roman" w:hAnsi="Times New Roman" w:eastAsia="方正楷体_GBK" w:cs="Times New Roman"/>
                <w:sz w:val="16"/>
                <w:szCs w:val="16"/>
                <w:lang w:val="en-US" w:eastAsia="zh-CN"/>
              </w:rPr>
              <w:t>行政法规</w:t>
            </w:r>
            <w:r>
              <w:rPr>
                <w:rFonts w:hint="default" w:ascii="Times New Roman" w:hAnsi="Times New Roman" w:eastAsia="方正楷体_GBK" w:cs="Times New Roman"/>
                <w:sz w:val="16"/>
                <w:szCs w:val="16"/>
                <w:lang w:val="en-US" w:eastAsia="zh-CN"/>
              </w:rPr>
              <w:t>】《取水许可和水资源费征收管理条例》</w:t>
            </w:r>
            <w:r>
              <w:rPr>
                <w:rFonts w:hint="eastAsia" w:ascii="Times New Roman" w:hAnsi="Times New Roman" w:eastAsia="方正楷体_GBK" w:cs="Times New Roman"/>
                <w:sz w:val="16"/>
                <w:szCs w:val="16"/>
                <w:lang w:val="en-US" w:eastAsia="zh-CN"/>
              </w:rPr>
              <w:t>（2017修订）</w:t>
            </w:r>
          </w:p>
          <w:p>
            <w:pPr>
              <w:pStyle w:val="16"/>
              <w:spacing w:line="240" w:lineRule="auto"/>
              <w:ind w:firstLine="320" w:firstLineChars="200"/>
              <w:jc w:val="both"/>
              <w:rPr>
                <w:rFonts w:hint="eastAsia" w:ascii="方正楷体_GBK" w:hAnsi="方正楷体_GBK" w:eastAsia="方正楷体_GBK" w:cs="方正楷体_GBK"/>
                <w:sz w:val="16"/>
                <w:szCs w:val="16"/>
                <w:lang w:val="en-US" w:eastAsia="zh-CN"/>
              </w:rPr>
            </w:pPr>
            <w:r>
              <w:rPr>
                <w:rFonts w:hint="default" w:ascii="Times New Roman" w:hAnsi="Times New Roman" w:eastAsia="方正楷体_GBK" w:cs="Times New Roman"/>
                <w:sz w:val="16"/>
                <w:szCs w:val="16"/>
                <w:lang w:val="en-US" w:eastAsia="zh-CN"/>
              </w:rPr>
              <w:t>第二十一条</w:t>
            </w:r>
            <w:r>
              <w:rPr>
                <w:rFonts w:hint="eastAsia" w:ascii="Times New Roman" w:hAnsi="Times New Roman" w:eastAsia="方正楷体_GBK" w:cs="Times New Roman"/>
                <w:sz w:val="16"/>
                <w:szCs w:val="16"/>
                <w:lang w:val="en-US" w:eastAsia="zh-CN"/>
              </w:rPr>
              <w:t xml:space="preserve">  </w:t>
            </w:r>
            <w:r>
              <w:rPr>
                <w:rFonts w:hint="eastAsia" w:ascii="方正楷体_GBK" w:hAnsi="方正楷体_GBK" w:eastAsia="方正楷体_GBK" w:cs="方正楷体_GBK"/>
                <w:sz w:val="16"/>
                <w:szCs w:val="16"/>
                <w:lang w:val="en-US" w:eastAsia="zh-CN"/>
              </w:rPr>
              <w:t xml:space="preserve">取水申请经审批机关批准，申请人方可兴建取水工程或者设施。 </w:t>
            </w:r>
          </w:p>
          <w:p>
            <w:pPr>
              <w:pStyle w:val="16"/>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第四十九条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未取得取水申请批准文件擅自建设取水工程或者设施的，责令停止违法行为，限期补办有关手续；逾期不补办或者补办未被批准的，责令限期拆除或者封闭其取水工程或者设施；逾期不拆除或者不封闭其取水工程或者设施的，由县级以上地方人民政府水行政主管部门或者流域管理机构组织拆除或者封闭，所需费用由违法行为人承担，可以处5万元以下罚款。</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取水单位取水申请经审批机关批准后，按照行政许可文件要求建设取水工程或者设施。</w:t>
            </w:r>
          </w:p>
        </w:tc>
        <w:tc>
          <w:tcPr>
            <w:tcW w:w="1117" w:type="dxa"/>
            <w:tcMar>
              <w:top w:w="57" w:type="dxa"/>
              <w:left w:w="57" w:type="dxa"/>
              <w:bottom w:w="57" w:type="dxa"/>
              <w:right w:w="57" w:type="dxa"/>
            </w:tcMar>
            <w:vAlign w:val="center"/>
          </w:tcPr>
          <w:p>
            <w:pPr>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水政水资源科81173013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50" w:hRule="atLeast"/>
        </w:trPr>
        <w:tc>
          <w:tcPr>
            <w:tcW w:w="653" w:type="dxa"/>
            <w:vAlign w:val="center"/>
          </w:tcPr>
          <w:p>
            <w:pPr>
              <w:pStyle w:val="16"/>
              <w:spacing w:before="1" w:line="240" w:lineRule="auto"/>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取水单位取水应依法获得取水许可证</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取水单位未经批准取水或者未依照批准的取水许可规定条件取水</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w:t>
            </w:r>
            <w:r>
              <w:rPr>
                <w:rFonts w:hint="eastAsia" w:ascii="Times New Roman" w:hAnsi="Times New Roman" w:eastAsia="方正楷体_GBK" w:cs="Times New Roman"/>
                <w:sz w:val="16"/>
                <w:szCs w:val="16"/>
                <w:lang w:val="en-US" w:eastAsia="zh-CN"/>
              </w:rPr>
              <w:t>行政法规</w:t>
            </w:r>
            <w:r>
              <w:rPr>
                <w:rFonts w:hint="default" w:ascii="Times New Roman" w:hAnsi="Times New Roman" w:eastAsia="方正楷体_GBK" w:cs="Times New Roman"/>
                <w:sz w:val="16"/>
                <w:szCs w:val="16"/>
                <w:lang w:val="en-US" w:eastAsia="zh-CN"/>
              </w:rPr>
              <w:t>】《取水许可和水资源费征收管理条例》（2017修订）</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 xml:space="preserve">取用水资源的单位和个人，除本条例第四条规定的情形外，都应当申请领取取水许可证，并缴纳水资源费。 </w:t>
            </w:r>
          </w:p>
          <w:p>
            <w:pPr>
              <w:pStyle w:val="16"/>
              <w:spacing w:line="240" w:lineRule="auto"/>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w:t>
            </w:r>
            <w:r>
              <w:rPr>
                <w:rFonts w:hint="eastAsia" w:ascii="Times New Roman" w:hAnsi="Times New Roman" w:eastAsia="方正楷体_GBK" w:cs="Times New Roman"/>
                <w:sz w:val="16"/>
                <w:szCs w:val="16"/>
                <w:lang w:val="en-US" w:eastAsia="zh-CN"/>
              </w:rPr>
              <w:t>法律</w:t>
            </w:r>
            <w:r>
              <w:rPr>
                <w:rFonts w:hint="default" w:ascii="Times New Roman" w:hAnsi="Times New Roman" w:eastAsia="方正楷体_GBK" w:cs="Times New Roman"/>
                <w:sz w:val="16"/>
                <w:szCs w:val="16"/>
                <w:lang w:val="en-US" w:eastAsia="zh-CN"/>
              </w:rPr>
              <w:t>】《</w:t>
            </w:r>
            <w:r>
              <w:rPr>
                <w:rFonts w:hint="eastAsia" w:ascii="Times New Roman" w:hAnsi="Times New Roman" w:eastAsia="方正楷体_GBK" w:cs="Times New Roman"/>
                <w:sz w:val="16"/>
                <w:szCs w:val="16"/>
                <w:lang w:val="en-US" w:eastAsia="zh-CN"/>
              </w:rPr>
              <w:t>中华人民共和国</w:t>
            </w:r>
            <w:r>
              <w:rPr>
                <w:rFonts w:hint="default" w:ascii="Times New Roman" w:hAnsi="Times New Roman" w:eastAsia="方正楷体_GBK" w:cs="Times New Roman"/>
                <w:sz w:val="16"/>
                <w:szCs w:val="16"/>
                <w:lang w:val="en-US" w:eastAsia="zh-CN"/>
              </w:rPr>
              <w:t>水法》</w:t>
            </w:r>
            <w:r>
              <w:rPr>
                <w:rFonts w:hint="eastAsia" w:ascii="Times New Roman" w:hAnsi="Times New Roman" w:eastAsia="方正楷体_GBK" w:cs="Times New Roman"/>
                <w:sz w:val="16"/>
                <w:szCs w:val="16"/>
                <w:lang w:val="en-US" w:eastAsia="zh-CN"/>
              </w:rPr>
              <w:t>（2016修正）</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有下列行为之一的，由县级以上人民政府水行政主管部门或者流域管理机构依据职权，责令停止违法行为，限期采取补救措施，处二万元以上十万元以下的罚款；情节严重的，吊销其取水许可证：</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未经批准擅自取水的；</w:t>
            </w:r>
          </w:p>
          <w:p>
            <w:pPr>
              <w:pStyle w:val="16"/>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未依照批准的取水许可规定条件取水的。</w:t>
            </w:r>
          </w:p>
        </w:tc>
        <w:tc>
          <w:tcPr>
            <w:tcW w:w="750" w:type="dxa"/>
            <w:tcMar>
              <w:top w:w="57" w:type="dxa"/>
              <w:left w:w="57" w:type="dxa"/>
              <w:bottom w:w="57" w:type="dxa"/>
              <w:right w:w="57" w:type="dxa"/>
            </w:tcMar>
            <w:vAlign w:val="center"/>
          </w:tcPr>
          <w:p>
            <w:pPr>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取水单位取水工程或者设施，经验收合格，并领取取水许可证后，方可正式取水运行。</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水政水资源科81173013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69" w:hRule="atLeast"/>
        </w:trPr>
        <w:tc>
          <w:tcPr>
            <w:tcW w:w="653" w:type="dxa"/>
            <w:vAlign w:val="center"/>
          </w:tcPr>
          <w:p>
            <w:pPr>
              <w:pStyle w:val="16"/>
              <w:spacing w:before="1" w:line="240" w:lineRule="auto"/>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取水单位按期足额缴纳水资源费</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取水单位拒不缴纳、拖延缴纳或者拖欠水资源费</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【行政法规】《取水许可和水资源费征收管理条例》（2017修订）</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第二十八条第一款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取水单位或者个人应当缴纳水资源费。</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第三十三条第一款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取水审批机关确定水资源费缴纳数额后</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应当向取水单位或者个人送达水资源费缴纳通知单，取水单位或者个人应当自收到缴纳通知单之日起7日内办理缴纳手续。</w:t>
            </w:r>
          </w:p>
          <w:p>
            <w:pPr>
              <w:pStyle w:val="16"/>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【法律】《中华人民共和国水法》（2016修正）</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拒不缴纳、拖延缴纳或者拖欠水资源费的，由县级以上人民政府水行政主管部门或者流域管理机构依据职权，责令限期缴纳；逾期不缴纳的，从滞纳之日起按日加收滞纳部分千分之二的滞纳金，并处应缴或者补缴水资源费一倍以上五倍以下的罚款。</w:t>
            </w:r>
          </w:p>
        </w:tc>
        <w:tc>
          <w:tcPr>
            <w:tcW w:w="750" w:type="dxa"/>
            <w:tcMar>
              <w:top w:w="57" w:type="dxa"/>
              <w:left w:w="57" w:type="dxa"/>
              <w:bottom w:w="57" w:type="dxa"/>
              <w:right w:w="57" w:type="dxa"/>
            </w:tcMar>
            <w:vAlign w:val="center"/>
          </w:tcPr>
          <w:p>
            <w:pPr>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取水单位收到水资源费缴纳通知单后，按期足额缴纳水资源费</w:t>
            </w:r>
            <w:r>
              <w:rPr>
                <w:rFonts w:hint="eastAsia" w:ascii="Times New Roman" w:hAnsi="Times New Roman" w:eastAsia="方正楷体_GBK" w:cs="Times New Roman"/>
                <w:sz w:val="16"/>
                <w:szCs w:val="16"/>
                <w:lang w:val="en-US" w:eastAsia="zh-CN"/>
              </w:rPr>
              <w:t>。</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水政水资源科81173013</w:t>
            </w:r>
          </w:p>
        </w:tc>
      </w:tr>
    </w:tbl>
    <w:p>
      <w:pPr>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2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生产建设单位应在开工前获得水土保持方案许可，且水土保持设施验收合格</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生产建设单位应在开工前获得水土保持方案许可，且水土保持设施验收合格</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w:t>
            </w:r>
            <w:r>
              <w:rPr>
                <w:rFonts w:hint="eastAsia" w:ascii="Times New Roman" w:hAnsi="Times New Roman" w:eastAsia="方正楷体_GBK" w:cs="Times New Roman"/>
                <w:sz w:val="16"/>
                <w:szCs w:val="16"/>
                <w:lang w:val="en-US" w:eastAsia="zh-CN"/>
              </w:rPr>
              <w:t>中华人民共和国</w:t>
            </w:r>
            <w:r>
              <w:rPr>
                <w:rFonts w:hint="default" w:ascii="Times New Roman" w:hAnsi="Times New Roman" w:eastAsia="方正楷体_GBK" w:cs="Times New Roman"/>
                <w:sz w:val="16"/>
                <w:szCs w:val="16"/>
                <w:lang w:val="en-US" w:eastAsia="zh-CN"/>
              </w:rPr>
              <w:t>水土保持法》</w:t>
            </w:r>
            <w:r>
              <w:rPr>
                <w:rFonts w:hint="eastAsia" w:ascii="Times New Roman" w:hAnsi="Times New Roman" w:eastAsia="方正楷体_GBK" w:cs="Times New Roman"/>
                <w:sz w:val="16"/>
                <w:szCs w:val="16"/>
                <w:lang w:val="en-US" w:eastAsia="zh-CN"/>
              </w:rPr>
              <w:t>（2010修订）</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第二十五条第一款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w:t>
            </w:r>
          </w:p>
          <w:p>
            <w:pPr>
              <w:pStyle w:val="16"/>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依法应当编制水土保持方案的生产建设项目中的水土保持设施，应当与主体工程同时设计、同时施工、同时投产使用；生产建设项目竣工验收，应当验收水土保持设施；水土保持设施未经验收或者验收不合格的，生产建设项目不得投产使用</w:t>
            </w:r>
            <w:r>
              <w:rPr>
                <w:rFonts w:hint="eastAsia" w:ascii="Times New Roman" w:hAnsi="Times New Roman" w:eastAsia="方正楷体_GBK" w:cs="Times New Roman"/>
                <w:sz w:val="16"/>
                <w:szCs w:val="16"/>
                <w:lang w:val="en-US" w:eastAsia="zh-CN"/>
              </w:rPr>
              <w:t>。</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第五十三条第</w:t>
            </w: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有下列行为之一的，由县级以上人民政府水行政主管部门责令停止违法行为，限期补办手续；逾期不补办手续的，处五万元以上五十万元以下的罚款；对生产建设单位直接负责的主管人员和其他直接责任人员依法给予处分：</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依法应当编制水土保持方案的生产建设项目，未编制水土保持方案或者编制的水土保持方案未经批准而开工建设的；</w:t>
            </w:r>
          </w:p>
          <w:p>
            <w:pPr>
              <w:pStyle w:val="16"/>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违反本法规定，水土保持设施未经验收或者验收不合格将生产建设项目投产使用的，由县级以上人民政府水行政主管部门责令停止生产或者使用，直至验收合格，并处五万元以上五十万元以下的罚款。</w:t>
            </w:r>
          </w:p>
        </w:tc>
        <w:tc>
          <w:tcPr>
            <w:tcW w:w="750" w:type="dxa"/>
            <w:tcMar>
              <w:top w:w="57" w:type="dxa"/>
              <w:left w:w="57" w:type="dxa"/>
              <w:bottom w:w="57" w:type="dxa"/>
              <w:right w:w="57" w:type="dxa"/>
            </w:tcMar>
            <w:vAlign w:val="center"/>
          </w:tcPr>
          <w:p>
            <w:pPr>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生产建设单位在项目开工前申请水土保持方案审批，并组织水土保持设施验收工作。</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水利建设科81173010</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水政水资源科81173013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建设单位应在开工前获得河道管理范围内建设项目工程建设方案审批</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工程建设方案未经审查同意，建设单位开工建设</w:t>
            </w:r>
            <w:r>
              <w:rPr>
                <w:rFonts w:hint="eastAsia" w:ascii="Times New Roman" w:hAnsi="Times New Roman" w:eastAsia="方正楷体_GBK" w:cs="Times New Roman"/>
                <w:sz w:val="16"/>
                <w:szCs w:val="16"/>
                <w:lang w:val="en-US" w:eastAsia="zh-CN"/>
              </w:rPr>
              <w:t>。</w:t>
            </w:r>
          </w:p>
        </w:tc>
        <w:tc>
          <w:tcPr>
            <w:tcW w:w="5526" w:type="dxa"/>
            <w:tcMar>
              <w:top w:w="57" w:type="dxa"/>
              <w:left w:w="57" w:type="dxa"/>
              <w:bottom w:w="57" w:type="dxa"/>
              <w:right w:w="57" w:type="dxa"/>
            </w:tcMar>
            <w:vAlign w:val="center"/>
          </w:tcPr>
          <w:p>
            <w:pPr>
              <w:pStyle w:val="16"/>
              <w:spacing w:line="240" w:lineRule="auto"/>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w:t>
            </w:r>
            <w:r>
              <w:rPr>
                <w:rFonts w:hint="eastAsia" w:ascii="Times New Roman" w:hAnsi="Times New Roman" w:eastAsia="方正楷体_GBK" w:cs="Times New Roman"/>
                <w:sz w:val="16"/>
                <w:szCs w:val="16"/>
                <w:lang w:val="en-US" w:eastAsia="zh-CN"/>
              </w:rPr>
              <w:t>中华人民共和国</w:t>
            </w:r>
            <w:r>
              <w:rPr>
                <w:rFonts w:hint="default" w:ascii="Times New Roman" w:hAnsi="Times New Roman" w:eastAsia="方正楷体_GBK" w:cs="Times New Roman"/>
                <w:sz w:val="16"/>
                <w:szCs w:val="16"/>
                <w:lang w:val="en-US" w:eastAsia="zh-CN"/>
              </w:rPr>
              <w:t>防洪法》</w:t>
            </w:r>
            <w:r>
              <w:rPr>
                <w:rFonts w:hint="eastAsia" w:ascii="Times New Roman" w:hAnsi="Times New Roman" w:eastAsia="方正楷体_GBK" w:cs="Times New Roman"/>
                <w:sz w:val="16"/>
                <w:szCs w:val="16"/>
                <w:lang w:val="en-US" w:eastAsia="zh-CN"/>
              </w:rPr>
              <w:t>（2016修正）</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第二十七条第一款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pPr>
              <w:pStyle w:val="16"/>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750" w:type="dxa"/>
            <w:tcMar>
              <w:top w:w="57" w:type="dxa"/>
              <w:left w:w="57" w:type="dxa"/>
              <w:bottom w:w="57" w:type="dxa"/>
              <w:right w:w="57" w:type="dxa"/>
            </w:tcMar>
            <w:vAlign w:val="center"/>
          </w:tcPr>
          <w:p>
            <w:pPr>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建设单位在开工建设前获得河道管理范围内建设项目工程建设方案审批</w:t>
            </w:r>
            <w:r>
              <w:rPr>
                <w:rFonts w:hint="eastAsia" w:ascii="Times New Roman" w:hAnsi="Times New Roman" w:eastAsia="方正楷体_GBK" w:cs="Times New Roman"/>
                <w:sz w:val="16"/>
                <w:szCs w:val="16"/>
                <w:lang w:val="en-US" w:eastAsia="zh-CN"/>
              </w:rPr>
              <w:t>。</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河湖管理科80073303</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pStyle w:val="16"/>
        <w:bidi w:val="0"/>
        <w:jc w:val="both"/>
        <w:rPr>
          <w:rFonts w:hint="default" w:ascii="方正楷体_GBK" w:hAnsi="方正楷体_GBK" w:eastAsia="方正楷体_GBK" w:cs="方正楷体_GBK"/>
          <w:sz w:val="16"/>
          <w:szCs w:val="16"/>
          <w:lang w:val="en-US" w:eastAsia="zh-CN"/>
        </w:rPr>
      </w:pPr>
    </w:p>
    <w:p>
      <w:pPr>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br w:type="page"/>
      </w:r>
    </w:p>
    <w:p>
      <w:pPr>
        <w:pStyle w:val="2"/>
        <w:bidi w:val="0"/>
        <w:ind w:left="0" w:leftChars="0" w:firstLine="0" w:firstLineChars="0"/>
        <w:jc w:val="center"/>
        <w:rPr>
          <w:rFonts w:hint="eastAsia" w:ascii="方正小标宋_GBK" w:hAnsi="方正小标宋_GBK" w:eastAsia="方正小标宋_GBK" w:cs="方正小标宋_GBK"/>
          <w:szCs w:val="44"/>
          <w:lang w:val="en-US" w:eastAsia="zh-CN"/>
        </w:rPr>
      </w:pPr>
      <w:bookmarkStart w:id="12" w:name="_Toc3356"/>
      <w:r>
        <w:rPr>
          <w:rFonts w:hint="eastAsia" w:ascii="方正小标宋_GBK" w:hAnsi="方正小标宋_GBK" w:eastAsia="方正小标宋_GBK" w:cs="方正小标宋_GBK"/>
          <w:sz w:val="44"/>
          <w:szCs w:val="44"/>
          <w:lang w:val="en-US" w:eastAsia="zh-CN"/>
        </w:rPr>
        <w:t>无锡市滨湖区卫生健康委员会涉企行政合规指导清单</w:t>
      </w:r>
      <w:bookmarkEnd w:id="12"/>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适用于医疗机构、医疗卫生人员：</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1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医疗机构《放射诊疗许可证》与《医疗机构执业许可证》同时校验</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《放射诊疗许可证》未与 《医疗机构执业许可证》同时 校验。</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【部门规章】《放射诊疗管理规定》（2016修正）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第十七条第一款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《放射诊疗许可证》与《医疗机构执业许可证》同时校验，申请校验时应当提交本周期有关放射诊疗设备性能与辐射工作场所的检测报告、放射诊疗工作人员健康监护资料和工作开展情况报告。</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第三十八条第（二）项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医疗机构有下列情形之一的，由县级以上卫生行政部门给予警告、责令限期改正</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并可以根据情节处以3000元以下的罚款；情节严重的，吊销其《医疗机构执业许可证》。</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（二）未办理诊疗科目登记或者未按照规定进行校验的。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《放射诊疗许可证》与《医疗机构执业许可证》同时校验。</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法规科</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19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医疗机构应当使用具备相应资质的人员从事放射诊疗工作</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医疗机构使用不具备相应资质的人员从事放射诊疗工作。</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【部门规章】《放射诊疗管理规定》（2016修正）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医疗机构开展不同类别放射诊疗工作，应当分别具有下列人员：</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（一）开展放射治疗工作的，应当具有：</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.中级以上</w:t>
            </w:r>
            <w:r>
              <w:rPr>
                <w:rFonts w:hint="default" w:ascii="Times New Roman" w:hAnsi="Times New Roman" w:eastAsia="方正楷体_GBK" w:cs="Times New Roman"/>
                <w:sz w:val="16"/>
                <w:szCs w:val="16"/>
                <w:lang w:val="en-US" w:eastAsia="zh-CN"/>
              </w:rPr>
              <w:fldChar w:fldCharType="begin"/>
            </w:r>
            <w:r>
              <w:rPr>
                <w:rFonts w:hint="default" w:ascii="Times New Roman" w:hAnsi="Times New Roman" w:eastAsia="方正楷体_GBK" w:cs="Times New Roman"/>
                <w:sz w:val="16"/>
                <w:szCs w:val="16"/>
                <w:lang w:val="en-US" w:eastAsia="zh-CN"/>
              </w:rPr>
              <w:instrText xml:space="preserve">HYPERLINK "https://baike.baidu.com/item/%e4%b8%93%e4%b8%9a%e6%8a%80%e6%9c%af%e8%81%8c%e5%8a%a1"</w:instrText>
            </w:r>
            <w:r>
              <w:rPr>
                <w:rFonts w:hint="default" w:ascii="Times New Roman" w:hAnsi="Times New Roman" w:eastAsia="方正楷体_GBK" w:cs="Times New Roman"/>
                <w:sz w:val="16"/>
                <w:szCs w:val="16"/>
                <w:lang w:val="en-US" w:eastAsia="zh-CN"/>
              </w:rPr>
              <w:fldChar w:fldCharType="separate"/>
            </w:r>
            <w:r>
              <w:rPr>
                <w:rFonts w:hint="default" w:ascii="Times New Roman" w:hAnsi="Times New Roman" w:eastAsia="方正楷体_GBK" w:cs="Times New Roman"/>
                <w:sz w:val="16"/>
                <w:szCs w:val="16"/>
                <w:lang w:val="en-US" w:eastAsia="zh-CN"/>
              </w:rPr>
              <w:t>专业技术职务</w:t>
            </w:r>
            <w:r>
              <w:rPr>
                <w:rFonts w:hint="default" w:ascii="Times New Roman" w:hAnsi="Times New Roman" w:eastAsia="方正楷体_GBK" w:cs="Times New Roman"/>
                <w:sz w:val="16"/>
                <w:szCs w:val="16"/>
                <w:lang w:val="en-US" w:eastAsia="zh-CN"/>
              </w:rPr>
              <w:fldChar w:fldCharType="end"/>
            </w:r>
            <w:r>
              <w:rPr>
                <w:rFonts w:hint="default" w:ascii="Times New Roman" w:hAnsi="Times New Roman" w:eastAsia="方正楷体_GBK" w:cs="Times New Roman"/>
                <w:sz w:val="16"/>
                <w:szCs w:val="16"/>
                <w:lang w:val="en-US" w:eastAsia="zh-CN"/>
              </w:rPr>
              <w:t>任职资格的放射肿瘤医师；</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.病理学、</w:t>
            </w:r>
            <w:r>
              <w:rPr>
                <w:rFonts w:hint="default" w:ascii="Times New Roman" w:hAnsi="Times New Roman" w:eastAsia="方正楷体_GBK" w:cs="Times New Roman"/>
                <w:sz w:val="16"/>
                <w:szCs w:val="16"/>
                <w:lang w:val="en-US" w:eastAsia="zh-CN"/>
              </w:rPr>
              <w:fldChar w:fldCharType="begin"/>
            </w:r>
            <w:r>
              <w:rPr>
                <w:rFonts w:hint="default" w:ascii="Times New Roman" w:hAnsi="Times New Roman" w:eastAsia="方正楷体_GBK" w:cs="Times New Roman"/>
                <w:sz w:val="16"/>
                <w:szCs w:val="16"/>
                <w:lang w:val="en-US" w:eastAsia="zh-CN"/>
              </w:rPr>
              <w:instrText xml:space="preserve">HYPERLINK "https://baike.baidu.com/item/%e5%8c%bb%e5%ad%a6%e5%bd%b1%e5%83%8f%e5%ad%a6%e4%b8%93%e4%b8%9a"</w:instrText>
            </w:r>
            <w:r>
              <w:rPr>
                <w:rFonts w:hint="default" w:ascii="Times New Roman" w:hAnsi="Times New Roman" w:eastAsia="方正楷体_GBK" w:cs="Times New Roman"/>
                <w:sz w:val="16"/>
                <w:szCs w:val="16"/>
                <w:lang w:val="en-US" w:eastAsia="zh-CN"/>
              </w:rPr>
              <w:fldChar w:fldCharType="separate"/>
            </w:r>
            <w:r>
              <w:rPr>
                <w:rFonts w:hint="default" w:ascii="Times New Roman" w:hAnsi="Times New Roman" w:eastAsia="方正楷体_GBK" w:cs="Times New Roman"/>
                <w:sz w:val="16"/>
                <w:szCs w:val="16"/>
                <w:lang w:val="en-US" w:eastAsia="zh-CN"/>
              </w:rPr>
              <w:t>医学影像学专业</w:t>
            </w:r>
            <w:r>
              <w:rPr>
                <w:rFonts w:hint="default" w:ascii="Times New Roman" w:hAnsi="Times New Roman" w:eastAsia="方正楷体_GBK" w:cs="Times New Roman"/>
                <w:sz w:val="16"/>
                <w:szCs w:val="16"/>
                <w:lang w:val="en-US" w:eastAsia="zh-CN"/>
              </w:rPr>
              <w:fldChar w:fldCharType="end"/>
            </w:r>
            <w:r>
              <w:rPr>
                <w:rFonts w:hint="default" w:ascii="Times New Roman" w:hAnsi="Times New Roman" w:eastAsia="方正楷体_GBK" w:cs="Times New Roman"/>
                <w:sz w:val="16"/>
                <w:szCs w:val="16"/>
                <w:lang w:val="en-US" w:eastAsia="zh-CN"/>
              </w:rPr>
              <w:t>技术人员；</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lang w:val="en-US" w:eastAsia="zh-CN"/>
              </w:rPr>
              <w:t>.大学本科以上学历或中级以上专业技术职务任职资格的医学物理人员；</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4</w:t>
            </w:r>
            <w:r>
              <w:rPr>
                <w:rFonts w:hint="default" w:ascii="Times New Roman" w:hAnsi="Times New Roman" w:eastAsia="方正楷体_GBK" w:cs="Times New Roman"/>
                <w:sz w:val="16"/>
                <w:szCs w:val="16"/>
                <w:lang w:val="en-US" w:eastAsia="zh-CN"/>
              </w:rPr>
              <w:t>.放射治疗技师和维修人员。</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（二）开展核医学工作的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应当具有：</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.中级以上专业技术职务任职资格的核医学医师；</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.病理学</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医学影像学专业技术人员；</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lang w:val="en-US" w:eastAsia="zh-CN"/>
              </w:rPr>
              <w:t>.大学本科以上学历或中级以上专业技术职务任职资格的技术人员或核医学技师。</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（三）开展介入放射学工作的，应当具有：</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.大学本科以上学历或中级以上专业技术职务任职资格的放射影像医师；</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.放射影像技师；</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lang w:val="en-US" w:eastAsia="zh-CN"/>
              </w:rPr>
              <w:t>.相关内</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外科的专业技术人员。</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（四）开展X射线影像诊断工作的，应当具有专业的放射影像医师。</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第三十九条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医疗机构使用不具备相应资质的人员从事放射诊疗工作的，由县级以上卫生行政部门责令限期改正</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并可以处以5000元以下的罚款</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情节严重的，吊销其《医疗机构执业许可证》。</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医疗机构应当使用具备相应资质的人员从事放射诊疗工作。</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法规科</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81173117</w:t>
            </w:r>
          </w:p>
        </w:tc>
      </w:tr>
    </w:tbl>
    <w:p>
      <w:pPr>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1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放射诊疗工作人员应当按照有关规定</w:t>
            </w:r>
            <w:r>
              <w:rPr>
                <w:rFonts w:hint="default" w:ascii="Times New Roman" w:hAnsi="Times New Roman" w:eastAsia="方正楷体_GBK" w:cs="Times New Roman"/>
                <w:sz w:val="16"/>
                <w:szCs w:val="16"/>
                <w:highlight w:val="none"/>
                <w:lang w:val="en-US" w:eastAsia="zh-CN"/>
              </w:rPr>
              <w:t>配戴</w:t>
            </w:r>
            <w:r>
              <w:rPr>
                <w:rFonts w:hint="default" w:ascii="Times New Roman" w:hAnsi="Times New Roman" w:eastAsia="方正楷体_GBK" w:cs="Times New Roman"/>
                <w:sz w:val="16"/>
                <w:szCs w:val="16"/>
                <w:lang w:val="en-US" w:eastAsia="zh-CN"/>
              </w:rPr>
              <w:t>个人剂量计</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放射诊疗工作人员未按照有关规定</w:t>
            </w:r>
            <w:r>
              <w:rPr>
                <w:rFonts w:hint="default" w:ascii="Times New Roman" w:hAnsi="Times New Roman" w:eastAsia="方正楷体_GBK" w:cs="Times New Roman"/>
                <w:sz w:val="16"/>
                <w:szCs w:val="16"/>
                <w:highlight w:val="none"/>
                <w:lang w:val="en-US" w:eastAsia="zh-CN"/>
              </w:rPr>
              <w:t>配戴</w:t>
            </w:r>
            <w:r>
              <w:rPr>
                <w:rFonts w:hint="default" w:ascii="Times New Roman" w:hAnsi="Times New Roman" w:eastAsia="方正楷体_GBK" w:cs="Times New Roman"/>
                <w:sz w:val="16"/>
                <w:szCs w:val="16"/>
                <w:lang w:val="en-US" w:eastAsia="zh-CN"/>
              </w:rPr>
              <w:t>个人剂量计。</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【部门规章】《放射诊疗管理规定》（2016修正）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放射诊疗工作人员应当按照有关规定</w:t>
            </w:r>
            <w:r>
              <w:rPr>
                <w:rFonts w:hint="default" w:ascii="Times New Roman" w:hAnsi="Times New Roman" w:eastAsia="方正楷体_GBK" w:cs="Times New Roman"/>
                <w:sz w:val="16"/>
                <w:szCs w:val="16"/>
                <w:highlight w:val="none"/>
                <w:lang w:val="en-US" w:eastAsia="zh-CN"/>
              </w:rPr>
              <w:t>配戴</w:t>
            </w:r>
            <w:r>
              <w:rPr>
                <w:rFonts w:hint="default" w:ascii="Times New Roman" w:hAnsi="Times New Roman" w:eastAsia="方正楷体_GBK" w:cs="Times New Roman"/>
                <w:sz w:val="16"/>
                <w:szCs w:val="16"/>
                <w:lang w:val="en-US" w:eastAsia="zh-CN"/>
              </w:rPr>
              <w:t>个人剂量计。</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第四十一条第</w:t>
            </w:r>
            <w:r>
              <w:rPr>
                <w:rFonts w:hint="eastAsia" w:ascii="Times New Roman" w:hAnsi="Times New Roman" w:eastAsia="方正楷体_GBK" w:cs="Times New Roman"/>
                <w:sz w:val="16"/>
                <w:szCs w:val="16"/>
                <w:lang w:val="en-US" w:eastAsia="zh-CN"/>
              </w:rPr>
              <w:t>（四）</w:t>
            </w:r>
            <w:r>
              <w:rPr>
                <w:rFonts w:hint="default" w:ascii="Times New Roman" w:hAnsi="Times New Roman" w:eastAsia="方正楷体_GBK" w:cs="Times New Roman"/>
                <w:sz w:val="16"/>
                <w:szCs w:val="16"/>
                <w:lang w:val="en-US" w:eastAsia="zh-CN"/>
              </w:rPr>
              <w:t>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医疗机构违反本规定，有下列行为之一的，由县级以上卫生行政部门给予警告，责令限期改正；并可处一万元以下的罚款：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（四）未按照规定对放射诊疗工作人员进行个人剂量监测</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健康检查</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建立个人剂量和健康档案的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放射诊疗工作人员应当按照有关规定</w:t>
            </w:r>
            <w:r>
              <w:rPr>
                <w:rFonts w:hint="default" w:ascii="Times New Roman" w:hAnsi="Times New Roman" w:eastAsia="方正楷体_GBK" w:cs="Times New Roman"/>
                <w:sz w:val="16"/>
                <w:szCs w:val="16"/>
                <w:highlight w:val="none"/>
                <w:lang w:val="en-US" w:eastAsia="zh-CN"/>
              </w:rPr>
              <w:t>配戴</w:t>
            </w:r>
            <w:r>
              <w:rPr>
                <w:rFonts w:hint="default" w:ascii="Times New Roman" w:hAnsi="Times New Roman" w:eastAsia="方正楷体_GBK" w:cs="Times New Roman"/>
                <w:sz w:val="16"/>
                <w:szCs w:val="16"/>
                <w:lang w:val="en-US" w:eastAsia="zh-CN"/>
              </w:rPr>
              <w:t>个人剂量计</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常规监测周期一般为一个月</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最长不应超过3个月。</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法规科</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9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医疗机构应当按照有关规定和标准，对放射诊疗工作人员进行上 岗前</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在岗期间和离岗时的健康检查，定期进行专业及防护知识培训</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1.医疗机构未按照有关规 定和标准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对放射诊疗工作人 员进行上前、在岗期间和离岗 时的健康检查；</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2.医疗机构未按照有关规 定和标准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对放射诊疗工作人 员定期进行专业及防护知识培训。</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【部门规章】《放射诊疗管理规定》（2016修正）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医疗机构应当按照有关规定和标准，对放射诊疗工作人员进行上岗前、在岗期间和离岗时的健康检查，定期进行专业及防护知识培训，并分别建立个人剂量、职业健康管理和教育培训档案。</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第四十一条第（四）项  医疗机构违反本规定，有下列行为之一的，由县级以上卫生行政部门给予警告，责令限期改正；并可处一万元以下的罚款：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（四）未按照规定对放射诊疗工作人员进行个人剂量监测、健康检查、建立个人剂量和健康档案的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医疗机构应当按照有关规定和标准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对放射诊疗工作人员进行上岗前</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在岗期间和离岗时的健康检查，定期进行专业及防护知识培训。在岗期间，职业健康检查周期一般为</w:t>
            </w:r>
            <w:r>
              <w:rPr>
                <w:rFonts w:hint="default" w:ascii="Times New Roman" w:hAnsi="Times New Roman" w:eastAsia="方正楷体_GBK" w:cs="Times New Roman"/>
                <w:sz w:val="16"/>
                <w:szCs w:val="16"/>
                <w:lang w:val="en-US" w:eastAsia="en-US"/>
              </w:rPr>
              <w:t>1a-2a，</w:t>
            </w:r>
            <w:r>
              <w:rPr>
                <w:rFonts w:hint="default" w:ascii="Times New Roman" w:hAnsi="Times New Roman" w:eastAsia="方正楷体_GBK" w:cs="Times New Roman"/>
                <w:sz w:val="16"/>
                <w:szCs w:val="16"/>
                <w:lang w:val="en-US" w:eastAsia="zh-CN"/>
              </w:rPr>
              <w:t>不得超过</w:t>
            </w:r>
            <w:r>
              <w:rPr>
                <w:rFonts w:hint="default" w:ascii="Times New Roman" w:hAnsi="Times New Roman" w:eastAsia="方正楷体_GBK" w:cs="Times New Roman"/>
                <w:sz w:val="16"/>
                <w:szCs w:val="16"/>
                <w:lang w:val="en-US" w:eastAsia="en-US"/>
              </w:rPr>
              <w:t>2a</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医学放射工作人员上岗前应当接受放射防护知识和有关法律知识的培训，并经考核合格方可参加相应的工作</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培训时间不少于</w:t>
            </w:r>
            <w:r>
              <w:rPr>
                <w:rFonts w:hint="default" w:ascii="Times New Roman" w:hAnsi="Times New Roman" w:eastAsia="方正楷体_GBK" w:cs="Times New Roman"/>
                <w:sz w:val="16"/>
                <w:szCs w:val="16"/>
                <w:lang w:val="en-US" w:eastAsia="en-US"/>
              </w:rPr>
              <w:t>4d，</w:t>
            </w:r>
            <w:r>
              <w:rPr>
                <w:rFonts w:hint="default" w:ascii="Times New Roman" w:hAnsi="Times New Roman" w:eastAsia="方正楷体_GBK" w:cs="Times New Roman"/>
                <w:sz w:val="16"/>
                <w:szCs w:val="16"/>
                <w:lang w:val="en-US" w:eastAsia="zh-CN"/>
              </w:rPr>
              <w:t>在岗期间应定期接受再培训，两次培训时间间隔不超过</w:t>
            </w:r>
            <w:r>
              <w:rPr>
                <w:rFonts w:hint="default" w:ascii="Times New Roman" w:hAnsi="Times New Roman" w:eastAsia="方正楷体_GBK" w:cs="Times New Roman"/>
                <w:sz w:val="16"/>
                <w:szCs w:val="16"/>
                <w:lang w:val="en-US" w:eastAsia="en-US"/>
              </w:rPr>
              <w:t>2a</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 xml:space="preserve">每次培训时间不少于 </w:t>
            </w:r>
            <w:r>
              <w:rPr>
                <w:rFonts w:hint="default" w:ascii="Times New Roman" w:hAnsi="Times New Roman" w:eastAsia="方正楷体_GBK" w:cs="Times New Roman"/>
                <w:sz w:val="16"/>
                <w:szCs w:val="16"/>
                <w:lang w:val="en-US" w:eastAsia="en-US"/>
              </w:rPr>
              <w:t>2d</w:t>
            </w:r>
            <w:r>
              <w:rPr>
                <w:rFonts w:hint="eastAsia" w:ascii="Times New Roman" w:hAnsi="Times New Roman" w:eastAsia="方正楷体_GBK" w:cs="Times New Roman"/>
                <w:sz w:val="16"/>
                <w:szCs w:val="16"/>
                <w:lang w:val="en-US" w:eastAsia="zh-CN"/>
              </w:rPr>
              <w:t>。</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9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公共场所应当取得公共场所卫生许可证方可营业</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公共场所未取得公共场所卫生许可证从事公共场所经营活动。</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【部门规章】《公共场所卫生管理条例实施细则》（2017修正）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第二十二条第二款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公共场所经营者取得工商行政管理部门颁发的营业执照后，还应当按照规定向县级以上地方人民政府卫生计生行政部门申请卫生许可证，方可营业。</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第三十五条</w:t>
            </w:r>
            <w:r>
              <w:rPr>
                <w:rFonts w:hint="eastAsia" w:ascii="Times New Roman" w:hAnsi="Times New Roman" w:eastAsia="方正楷体_GBK" w:cs="Times New Roman"/>
                <w:sz w:val="16"/>
                <w:szCs w:val="16"/>
                <w:lang w:val="en-US" w:eastAsia="zh-CN"/>
              </w:rPr>
              <w:t xml:space="preserve">第一款  </w:t>
            </w:r>
            <w:r>
              <w:rPr>
                <w:rFonts w:hint="default" w:ascii="Times New Roman" w:hAnsi="Times New Roman" w:eastAsia="方正楷体_GBK" w:cs="Times New Roman"/>
                <w:sz w:val="16"/>
                <w:szCs w:val="16"/>
                <w:lang w:val="en-US" w:eastAsia="zh-CN"/>
              </w:rPr>
              <w:t>对未依法取得公共场所卫生许可证擅自营业的，由县级以上地方人民政府卫生计生行政部门责令限期改正，给予警告，并处以五百元以上五千元以下罚款；有下列情形之一的，处以五千元以上三万元以下罚款：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（一）擅自营业曾受过卫生计生行政部门处罚的；</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（二）擅自营业时间在三个月以上的；</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（三）以涂改、转让、倒卖、伪造的卫生许可证擅自营业的。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宾馆、旅店、招待所</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公共浴室</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理发店</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美容店、影剧院</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舞厅</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游艺厅（室）、游泳场（馆）、商场（店）</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候诊室、候车（机、船）室等公共场所应当取得公共场所卫生许可证方可营业。</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81173117</w:t>
            </w:r>
          </w:p>
        </w:tc>
      </w:tr>
    </w:tbl>
    <w:p>
      <w:pPr>
        <w:pStyle w:val="16"/>
        <w:bidi w:val="0"/>
        <w:jc w:val="both"/>
        <w:rPr>
          <w:rFonts w:hint="default" w:ascii="方正楷体_GBK" w:hAnsi="方正楷体_GBK" w:eastAsia="方正楷体_GBK" w:cs="方正楷体_GBK"/>
          <w:sz w:val="16"/>
          <w:szCs w:val="16"/>
          <w:lang w:val="en-US" w:eastAsia="zh-CN"/>
        </w:rPr>
      </w:pPr>
    </w:p>
    <w:p>
      <w:pPr>
        <w:pStyle w:val="16"/>
        <w:bidi w:val="0"/>
        <w:jc w:val="both"/>
        <w:rPr>
          <w:rFonts w:hint="default" w:ascii="方正楷体_GBK" w:hAnsi="方正楷体_GBK" w:eastAsia="方正楷体_GBK" w:cs="方正楷体_GBK"/>
          <w:sz w:val="16"/>
          <w:szCs w:val="16"/>
          <w:lang w:val="en-US" w:eastAsia="zh-CN"/>
        </w:rPr>
      </w:pPr>
    </w:p>
    <w:p>
      <w:pPr>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2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6</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公共场所经营者应当按照卫生标准、规范的要求对公共场所的空 气、微小气候、水质</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采光</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照明</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噪声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顾 客用品用具</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集中式空调等进行卫生检测</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公共场所经营者未按照卫生标准、规范的要求对公共场所的空气</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微小气候</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水质</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 xml:space="preserve"> 采光</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照明</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噪声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顾客用品 用具</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集中式空调等进行卫生 检测。</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【部门规章】《公共场所卫生管理条例实施细则》（2017修正）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第十九条第一款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共场所经营者应当按照卫生标准、规范的要求对公共场所的空气、微小气候、水质、采光、照明、噪声、顾客用品用具等进行卫生检测，检测每年不得少于一次；检测结果不符合卫生标准、规范要求的应当及时整改。</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第三十六条第（一）项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（一）未按照规定对公共场所的空气、微小气候、水质、采光、照明、噪声、顾客用品用具等进行卫生检测的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公共场所经营者应当按照卫生标准、规范的要求对公共场所的空气、微小气候、水质、采光、照明、噪声</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 xml:space="preserve"> 顾客用品用具、集中式空调等进行卫生检测，检测每年不得少于一次。</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eastAsia" w:ascii="Times New Roman" w:hAnsi="Times New Roman" w:eastAsia="方正楷体_GBK" w:cs="Times New Roman"/>
                <w:sz w:val="16"/>
                <w:szCs w:val="16"/>
                <w:lang w:val="en-US"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3"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7</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公共场所从业人员应取得有效健康合格证明</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公共场所从业人员未获得有效健康合格证明从事直接为顾客服务工作。</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【部门规章】《公共场所卫生管理条例实施细则》（2017修正）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公共场所经营者应当组织从业人员每年进行健康检查，从业人员在取得有效健康合格证明后方可上岗。</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第三十八条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公共场所经营者应当组织从业人员每年进行健康检查，从业人员在取得有效健康合格证明后方可上岗。</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8</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医疗卫生机构应当建立消毒管理组织</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制定消毒管理制度，执行国家有关规范</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标准和规定，定期开展消毒与灭 菌效果检测工作</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医疗卫生机构未建立消毒管理组织</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制定消毒管理制度；</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医疗卫生机构开展消毒工作时未执行国家有关规范</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标准和规定；</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3.</w:t>
            </w:r>
            <w:r>
              <w:rPr>
                <w:rFonts w:hint="default" w:ascii="Times New Roman" w:hAnsi="Times New Roman" w:eastAsia="方正楷体_GBK" w:cs="Times New Roman"/>
                <w:sz w:val="16"/>
                <w:szCs w:val="16"/>
                <w:lang w:val="en-US" w:eastAsia="zh-CN"/>
              </w:rPr>
              <w:t>医疗卫生机构未定期开展消毒与灭菌效果</w:t>
            </w:r>
            <w:r>
              <w:rPr>
                <w:rFonts w:hint="default" w:ascii="Times New Roman" w:hAnsi="Times New Roman" w:eastAsia="方正楷体_GBK" w:cs="Times New Roman"/>
                <w:sz w:val="16"/>
                <w:szCs w:val="16"/>
                <w:highlight w:val="none"/>
                <w:lang w:val="en-US" w:eastAsia="zh-CN"/>
              </w:rPr>
              <w:t>检测</w:t>
            </w:r>
            <w:r>
              <w:rPr>
                <w:rFonts w:hint="default" w:ascii="Times New Roman" w:hAnsi="Times New Roman" w:eastAsia="方正楷体_GBK" w:cs="Times New Roman"/>
                <w:sz w:val="16"/>
                <w:szCs w:val="16"/>
                <w:lang w:val="en-US" w:eastAsia="zh-CN"/>
              </w:rPr>
              <w:t>工作。</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【部门规章】《消毒管理办法》（2017修订）</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医疗卫生机构应当建立消毒管理组织，制定消毒管理制度，执行国家有关规范、标准和规定，定期开展消毒与灭菌效果检测工作。</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第四十一条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卫生机构违反本办法第四条、第五条、第六条、第七条、第八条、第九条规定的，由县级以上地方卫生计生行政部门责令限期改正，可以处5000元以下罚款；造成感染性疾病暴发的，可以处5000元以上20000元以下罚款。</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医疗卫生机构应当建立消毒管理组织，制定消毒管理制度</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执行国家有关规范</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标准和规定</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定期开展消毒与灭菌效果</w:t>
            </w:r>
            <w:r>
              <w:rPr>
                <w:rFonts w:hint="default" w:ascii="Times New Roman" w:hAnsi="Times New Roman" w:eastAsia="方正楷体_GBK" w:cs="Times New Roman"/>
                <w:sz w:val="16"/>
                <w:szCs w:val="16"/>
                <w:highlight w:val="none"/>
                <w:lang w:val="en-US" w:eastAsia="zh-CN"/>
              </w:rPr>
              <w:t>检测</w:t>
            </w:r>
            <w:r>
              <w:rPr>
                <w:rFonts w:hint="default" w:ascii="Times New Roman" w:hAnsi="Times New Roman" w:eastAsia="方正楷体_GBK" w:cs="Times New Roman"/>
                <w:sz w:val="16"/>
                <w:szCs w:val="16"/>
                <w:lang w:val="en-US" w:eastAsia="zh-CN"/>
              </w:rPr>
              <w:t>工作。</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bl>
    <w:p>
      <w:pPr>
        <w:pStyle w:val="16"/>
        <w:bidi w:val="0"/>
        <w:jc w:val="both"/>
        <w:rPr>
          <w:rFonts w:hint="default" w:ascii="方正楷体_GBK" w:hAnsi="方正楷体_GBK" w:eastAsia="方正楷体_GBK" w:cs="方正楷体_GBK"/>
          <w:sz w:val="16"/>
          <w:szCs w:val="16"/>
          <w:lang w:val="en-US" w:eastAsia="zh-CN"/>
        </w:rPr>
      </w:pPr>
    </w:p>
    <w:p>
      <w:pPr>
        <w:pStyle w:val="16"/>
        <w:bidi w:val="0"/>
        <w:jc w:val="both"/>
        <w:rPr>
          <w:rFonts w:hint="default" w:ascii="方正楷体_GBK" w:hAnsi="方正楷体_GBK" w:eastAsia="方正楷体_GBK" w:cs="方正楷体_GBK"/>
          <w:sz w:val="16"/>
          <w:szCs w:val="16"/>
          <w:lang w:val="en-US" w:eastAsia="zh-CN"/>
        </w:rPr>
      </w:pPr>
    </w:p>
    <w:p>
      <w:pPr>
        <w:pStyle w:val="16"/>
        <w:bidi w:val="0"/>
        <w:jc w:val="both"/>
        <w:rPr>
          <w:rFonts w:hint="default" w:ascii="方正楷体_GBK" w:hAnsi="方正楷体_GBK" w:eastAsia="方正楷体_GBK" w:cs="方正楷体_GBK"/>
          <w:sz w:val="16"/>
          <w:szCs w:val="16"/>
          <w:lang w:val="en-US" w:eastAsia="zh-CN"/>
        </w:rPr>
      </w:pPr>
    </w:p>
    <w:p>
      <w:pPr>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i w:val="0"/>
                <w:iCs w:val="0"/>
                <w:sz w:val="16"/>
                <w:szCs w:val="16"/>
                <w:lang w:val="en-US" w:eastAsia="zh-CN"/>
              </w:rPr>
            </w:pPr>
            <w:r>
              <w:rPr>
                <w:rFonts w:hint="default" w:ascii="Times New Roman" w:hAnsi="Times New Roman" w:eastAsia="黑体" w:cs="Times New Roman"/>
                <w:b w:val="0"/>
                <w:bCs/>
                <w:i w:val="0"/>
                <w:iCs w:val="0"/>
                <w:sz w:val="16"/>
                <w:szCs w:val="16"/>
                <w:lang w:val="en-US" w:eastAsia="zh-CN"/>
              </w:rPr>
              <w:t>9</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医疗卫生机构应当对本单位从事医疗废物 收集、运送、贮存、处 置等工作的人员和管理人员，进行相关法律和专业技术、安全防护以及紧急处理等知识的培训</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医疗卫生机构未对本单位从事医疗废物收集、运送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贮存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处置等工作的人员和管理人员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进行相关法律和专业技术</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安全防护以及紧急处理等知识的培训。</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【行政法规】《医疗废物管理条例》（2011修订）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医疗卫生机构和医疗废物集中处置单位，应当对本单位从事医疗废物收集、运送、贮存、处置等工作的人员和管理人员，进行相关法律和专业技术、安全防护以及紧急处理等知识的培训。</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第四十五条第（二）项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（二）未对有关人员进行相关法律和专业技术、安全防护以及紧急处理等知识的培训的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医疗卫生机构应当对本单位从事医疗废物收集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运送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贮存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处置等工作的人员和管理人员，进行相关法律和专业技术</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安全防护以及紧急处理等知识的培训。</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eastAsia" w:ascii="Times New Roman" w:hAnsi="Times New Roman" w:eastAsia="方正楷体_GBK" w:cs="Times New Roman"/>
                <w:sz w:val="16"/>
                <w:szCs w:val="16"/>
                <w:lang w:val="en-US"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i w:val="0"/>
                <w:iCs w:val="0"/>
                <w:sz w:val="16"/>
                <w:szCs w:val="16"/>
                <w:lang w:val="en-US" w:eastAsia="zh-CN"/>
              </w:rPr>
            </w:pPr>
            <w:r>
              <w:rPr>
                <w:rFonts w:hint="default" w:ascii="Times New Roman" w:hAnsi="Times New Roman" w:eastAsia="黑体" w:cs="Times New Roman"/>
                <w:b w:val="0"/>
                <w:bCs/>
                <w:i w:val="0"/>
                <w:iCs w:val="0"/>
                <w:sz w:val="16"/>
                <w:szCs w:val="16"/>
                <w:lang w:val="en-US" w:eastAsia="zh-CN"/>
              </w:rPr>
              <w:t>10</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医疗卫生机构应当采取有效的职业卫生防护措施，为从事医疗废物收集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运送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贮存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处置等工作的人员和 管理人员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配备必要的防护用品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定期进行健 康检查</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必要时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对有关人员进行免疫接种</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 xml:space="preserve"> 防止其受到健康损害</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医疗卫生机构未采取有效的职业卫生防护措施，未为从事医疗废物收集</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运送</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贮 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处置等工作的人员和管理 人员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配备必要的防护用品， 定期进行健康检查。</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【行政法规】《医疗废物管理条例》（2011修订）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卫生机构和医疗废物集中处置单位，应当采取有效的职业卫生防护措施，为从事医疗废物收集、运送、贮存、处置等工作的人员和管理人员，配备必要的防护用品，定期进行健康检查；必要时，对有关人员进行免疫接种，防止其受到健康损害。</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第四十五条第（三）项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（三）未对从事医疗废物收集、运送、贮存、处置等工作的人员和管理人员采取职业卫生防护措施的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医疗卫生机构应当采取有效的职业卫生防护措施，为从事医疗废物收集、运送、贮存</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处置等工作的人员和管理人员，配备必要的防护用品， 定期进行健康检查</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必要时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对有关人员进行免疫接种</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防止其受到健康损害。</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7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i w:val="0"/>
                <w:iCs w:val="0"/>
                <w:sz w:val="16"/>
                <w:szCs w:val="16"/>
                <w:lang w:val="en-US" w:eastAsia="zh-CN"/>
              </w:rPr>
            </w:pPr>
            <w:r>
              <w:rPr>
                <w:rFonts w:hint="default" w:ascii="Times New Roman" w:hAnsi="Times New Roman" w:eastAsia="黑体" w:cs="Times New Roman"/>
                <w:b w:val="0"/>
                <w:bCs/>
                <w:i w:val="0"/>
                <w:iCs w:val="0"/>
                <w:sz w:val="16"/>
                <w:szCs w:val="16"/>
                <w:lang w:val="en-US" w:eastAsia="zh-CN"/>
              </w:rPr>
              <w:t>11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医疗卫生机构应当对医疗废物进行登记</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医疗卫生机构未对医疗废物进行登记。</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【行政法规】《医疗废物管理条例》（2011修订）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医疗卫生机构和医疗废物集中处置单位，应当对医疗废物进行登记，登记内容应当包括医疗废物的来源、种类、重量或者数量、交接时间、处置方法、最终去向以及经办人签名等项目。登记资料至少保存3年。</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第四十五条第</w:t>
            </w:r>
            <w:r>
              <w:rPr>
                <w:rFonts w:hint="eastAsia" w:ascii="Times New Roman" w:hAnsi="Times New Roman" w:eastAsia="方正楷体_GBK" w:cs="Times New Roman"/>
                <w:sz w:val="16"/>
                <w:szCs w:val="16"/>
                <w:lang w:val="en-US" w:eastAsia="zh-CN"/>
              </w:rPr>
              <w:t>（四）</w:t>
            </w:r>
            <w:r>
              <w:rPr>
                <w:rFonts w:hint="default" w:ascii="Times New Roman" w:hAnsi="Times New Roman" w:eastAsia="方正楷体_GBK" w:cs="Times New Roman"/>
                <w:sz w:val="16"/>
                <w:szCs w:val="16"/>
                <w:lang w:val="en-US" w:eastAsia="zh-CN"/>
              </w:rPr>
              <w:t>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（四）未对医疗废物进行登记或者未保存登记资料的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医疗卫生机构应当对医疗废物进行登记，登记内容包括医疗废物的来源</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种类</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重量或者数量</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交接时间</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处置方法</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最终去向以及经办人签名等项目</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登记资料至少保存3年。</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bl>
    <w:p>
      <w:pPr>
        <w:pStyle w:val="16"/>
        <w:bidi w:val="0"/>
        <w:jc w:val="both"/>
        <w:rPr>
          <w:rFonts w:hint="default" w:ascii="方正楷体_GBK" w:hAnsi="方正楷体_GBK" w:eastAsia="方正楷体_GBK" w:cs="方正楷体_GBK"/>
          <w:sz w:val="16"/>
          <w:szCs w:val="16"/>
          <w:lang w:val="en-US" w:eastAsia="zh-CN"/>
        </w:rPr>
      </w:pPr>
    </w:p>
    <w:p>
      <w:pPr>
        <w:pStyle w:val="16"/>
        <w:bidi w:val="0"/>
        <w:jc w:val="both"/>
        <w:rPr>
          <w:rFonts w:hint="default" w:ascii="方正楷体_GBK" w:hAnsi="方正楷体_GBK" w:eastAsia="方正楷体_GBK" w:cs="方正楷体_GBK"/>
          <w:sz w:val="16"/>
          <w:szCs w:val="16"/>
          <w:lang w:val="en-US" w:eastAsia="zh-CN"/>
        </w:rPr>
      </w:pPr>
    </w:p>
    <w:p>
      <w:pPr>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13"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单位或个人开办医疗机构应当按照国家有关规定办理审批或者备案手续</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单位或个人未取得医疗机构执业许可证擅自执业。</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【法律】《中华人民共和国基本医疗卫生与健康促进法》</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第三十八条第一款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举办医疗机构，应当具备下列条件，按照国家有关规定办理审批或者备案手续：</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（一）有符合规定的名称、组织机构和场所；</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（二）有与其开展的业务相适应的经费、设施、设备和医疗卫生人员；</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（三）有相应的规章制度；</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（四）能够独立承担民事责任；</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（五）法律</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行政法规规定的其他条件。</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第九十九条第一款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单位或个人开办医疗机构应当按照国家有关规定办理审批或者备案手续。</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eastAsia" w:ascii="Times New Roman" w:hAnsi="Times New Roman" w:eastAsia="方正楷体_GBK" w:cs="Times New Roman"/>
                <w:sz w:val="16"/>
                <w:szCs w:val="16"/>
                <w:lang w:val="en-US"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5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医疗机构必须按照核准登记的诊疗科目开展诊疗活动</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医疗机构诊疗活动超出登记范围。</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【行政法规】《医疗机构管理条例》（2022修订）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医疗机构必须按照核准登记或者备案的诊疗科目开展诊疗活动。</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第四十六条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第二十六条规定，诊疗活动超出登记或者备案范围的，由县级以上人民政府卫生行政部门予以警告、责令其改正，没收违法所得，并可以根据情节处以1万元以上10万元以下的罚款；情节严重的，吊销其《医疗机构执业许可证》或者责令其停止执业活动。</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医疗机构必须按照核准登记的诊疗科目开展诊疗活动。</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8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14</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医疗机构应当使用相应的卫生技术人员从事医疗卫生技术工作</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医疗机构使用非卫生技术人员从事医疗卫生技术工作的。</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【行政法规】《医疗机构管理条例》（2022修订）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医疗机构不得使用非卫生技术人员从事医疗卫生技术工作。</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第二十七条规定，使用非卫生技术人员从事医疗卫生技术工作的，由县级以上人民政府卫生行政部门责令其限期改正，并可以处以1万元以上10万元以下的罚款；情节严重的，吊销其《医疗机构执业许可证》或者责令其停止执业活动。</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 xml:space="preserve">【部门规章】《医疗机构管理条例实施细则》（2017修正） </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第八十一条第二款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医疗机构使用卫生技术人员从事本专业以外的诊疗活动的，按使用非卫生技术人员处理。</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医疗机构不得使用非卫生技术人员从事医疗卫生技术工作。</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bl>
    <w:p>
      <w:pPr>
        <w:pStyle w:val="16"/>
        <w:bidi w:val="0"/>
        <w:jc w:val="both"/>
        <w:rPr>
          <w:rFonts w:hint="default" w:ascii="方正楷体_GBK" w:hAnsi="方正楷体_GBK" w:eastAsia="方正楷体_GBK" w:cs="方正楷体_GBK"/>
          <w:sz w:val="16"/>
          <w:szCs w:val="16"/>
          <w:lang w:val="en-US" w:eastAsia="zh-CN"/>
        </w:rPr>
      </w:pPr>
    </w:p>
    <w:p>
      <w:pPr>
        <w:pStyle w:val="16"/>
        <w:bidi w:val="0"/>
        <w:jc w:val="both"/>
        <w:rPr>
          <w:rFonts w:hint="default" w:ascii="方正楷体_GBK" w:hAnsi="方正楷体_GBK" w:eastAsia="方正楷体_GBK" w:cs="方正楷体_GBK"/>
          <w:sz w:val="16"/>
          <w:szCs w:val="16"/>
          <w:lang w:val="en-US" w:eastAsia="zh-CN"/>
        </w:rPr>
      </w:pPr>
    </w:p>
    <w:p>
      <w:pPr>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4"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15</w:t>
            </w:r>
          </w:p>
        </w:tc>
        <w:tc>
          <w:tcPr>
            <w:tcW w:w="1354"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学校应当为学生提供充足的符合卫生标准的饮用水</w:t>
            </w:r>
          </w:p>
        </w:tc>
        <w:tc>
          <w:tcPr>
            <w:tcW w:w="2326"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学校为学生提供</w:t>
            </w:r>
            <w:r>
              <w:rPr>
                <w:rFonts w:hint="default" w:ascii="Times New Roman" w:hAnsi="Times New Roman" w:eastAsia="方正楷体_GBK" w:cs="Times New Roman"/>
                <w:sz w:val="16"/>
                <w:szCs w:val="16"/>
                <w:highlight w:val="none"/>
                <w:lang w:val="en-US" w:eastAsia="zh-CN" w:bidi="zh-CN"/>
              </w:rPr>
              <w:t>的</w:t>
            </w:r>
            <w:r>
              <w:rPr>
                <w:rFonts w:hint="default" w:ascii="Times New Roman" w:hAnsi="Times New Roman" w:eastAsia="方正楷体_GBK" w:cs="Times New Roman"/>
                <w:sz w:val="16"/>
                <w:szCs w:val="16"/>
                <w:lang w:val="en-US" w:eastAsia="zh-CN" w:bidi="zh-CN"/>
              </w:rPr>
              <w:t>饮用水（如直饮水、桶装水等）。经有资质的机构检测，有检测指标不合格。</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【行政法规】《学校卫生工作条例》</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学校应当为学生提供充足的符合卫生标准的饮用水。</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第三十三条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违反本条例第六条第一款、第七条和第十条规定的，由卫生行政部门对直接责任单位或者个人给予警告并责令</w:t>
            </w:r>
            <w:r>
              <w:rPr>
                <w:rFonts w:hint="default" w:ascii="Times New Roman" w:hAnsi="Times New Roman" w:eastAsia="方正楷体_GBK" w:cs="Times New Roman"/>
                <w:sz w:val="16"/>
                <w:szCs w:val="16"/>
                <w:highlight w:val="none"/>
                <w:lang w:val="en-US" w:eastAsia="zh-CN"/>
              </w:rPr>
              <w:t>限期改进</w:t>
            </w:r>
            <w:r>
              <w:rPr>
                <w:rFonts w:hint="default" w:ascii="Times New Roman" w:hAnsi="Times New Roman" w:eastAsia="方正楷体_GBK" w:cs="Times New Roman"/>
                <w:sz w:val="16"/>
                <w:szCs w:val="16"/>
                <w:lang w:val="en-US" w:eastAsia="zh-CN"/>
              </w:rPr>
              <w:t>。情节严重的，可以同时建议教育行政部门给予行政处分。</w:t>
            </w:r>
          </w:p>
        </w:tc>
        <w:tc>
          <w:tcPr>
            <w:tcW w:w="750"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color w:val="000000"/>
                <w:spacing w:val="0"/>
                <w:w w:val="100"/>
                <w:position w:val="0"/>
                <w:shd w:val="clear" w:color="auto" w:fill="auto"/>
              </w:rPr>
              <w:t>★</w:t>
            </w:r>
          </w:p>
        </w:tc>
        <w:tc>
          <w:tcPr>
            <w:tcW w:w="2631"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饮用水卫生安排专人管理，定期清洗消毒。</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eastAsia" w:ascii="Times New Roman" w:hAnsi="Times New Roman" w:eastAsia="方正楷体_GBK" w:cs="Times New Roman"/>
                <w:sz w:val="16"/>
                <w:szCs w:val="16"/>
                <w:lang w:val="en-US"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6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16</w:t>
            </w:r>
          </w:p>
        </w:tc>
        <w:tc>
          <w:tcPr>
            <w:tcW w:w="1354"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用人单位应当安排从事接触职业病危害作业的劳动者进行上岗前职业健康检查</w:t>
            </w:r>
          </w:p>
        </w:tc>
        <w:tc>
          <w:tcPr>
            <w:tcW w:w="2326"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用人单位安排未经上岗前职业健康检查的劳动者从事接触职业病危害的作业。</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【法律】《中华人民共和国职业病防治法》（2018修正）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第三十五条第二款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用人单位不得安排未经上岗前职业健康检查的劳动者从事接触职业病危害的作业；不得安排有职业禁忌的劳动者从事其所禁忌的作业；对在职业健康检查中发现有与所从事的职业相关的健康损害的劳动者，应当调离原工作岗位，并妥善安置；对未进行离岗前职业健康检查的劳动者不得解除或者终止与其订立的劳动合同。</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第七十五条第（七）项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违反本法规定，有下列情形之一的，由卫生行政部门责令限期治理，并处五万元以上三十万元以下的罚款；情节严重的，责令停止产生职业病危害的作业，或者提请有关人民政府按照国务院规定的权限责令关闭：</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（七）安排未经职业健康检查的劳动者、有职业禁忌的劳动者、未成年工或者孕期、哺乳期女职工从事接触职业病危害的作业或者禁忌作业的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color w:val="000000"/>
                <w:spacing w:val="0"/>
                <w:w w:val="100"/>
                <w:position w:val="0"/>
                <w:shd w:val="clear" w:color="auto" w:fill="auto"/>
              </w:rPr>
              <w:t>★★★</w:t>
            </w:r>
          </w:p>
        </w:tc>
        <w:tc>
          <w:tcPr>
            <w:tcW w:w="2631"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用人单位在安排劳动者从事接触职业病危害的作业前</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应当安排劳动者进行上岗前职业健康检查。</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17</w:t>
            </w:r>
          </w:p>
        </w:tc>
        <w:tc>
          <w:tcPr>
            <w:tcW w:w="1354"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用人单位应当在上岗前和在岗期间组织劳动者进行职业卫生培训，指导</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督促劳动者正确使用职业病防护设备和个人使用的职业病防护用品</w:t>
            </w:r>
          </w:p>
        </w:tc>
        <w:tc>
          <w:tcPr>
            <w:tcW w:w="2326"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en-US" w:eastAsia="zh-CN" w:bidi="zh-CN"/>
              </w:rPr>
            </w:pPr>
            <w:r>
              <w:rPr>
                <w:rFonts w:hint="eastAsia" w:ascii="Times New Roman" w:hAnsi="Times New Roman" w:eastAsia="方正楷体_GBK" w:cs="Times New Roman"/>
                <w:sz w:val="16"/>
                <w:szCs w:val="16"/>
                <w:lang w:val="en-US" w:eastAsia="zh-CN" w:bidi="zh-CN"/>
              </w:rPr>
              <w:t>1.</w:t>
            </w:r>
            <w:r>
              <w:rPr>
                <w:rFonts w:hint="default" w:ascii="Times New Roman" w:hAnsi="Times New Roman" w:eastAsia="方正楷体_GBK" w:cs="Times New Roman"/>
                <w:sz w:val="16"/>
                <w:szCs w:val="16"/>
                <w:lang w:val="en-US" w:eastAsia="zh-CN" w:bidi="zh-CN"/>
              </w:rPr>
              <w:t>用人单位未按照规定组织劳动者进行职业卫生培训；</w:t>
            </w:r>
          </w:p>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eastAsia" w:ascii="Times New Roman" w:hAnsi="Times New Roman" w:eastAsia="方正楷体_GBK" w:cs="Times New Roman"/>
                <w:sz w:val="16"/>
                <w:szCs w:val="16"/>
                <w:lang w:val="en-US" w:eastAsia="zh-CN" w:bidi="zh-CN"/>
              </w:rPr>
              <w:t>2.</w:t>
            </w:r>
            <w:r>
              <w:rPr>
                <w:rFonts w:hint="default" w:ascii="Times New Roman" w:hAnsi="Times New Roman" w:eastAsia="方正楷体_GBK" w:cs="Times New Roman"/>
                <w:sz w:val="16"/>
                <w:szCs w:val="16"/>
                <w:lang w:val="en-US" w:eastAsia="zh-CN" w:bidi="zh-CN"/>
              </w:rPr>
              <w:t>用人单位未对劳动者个人职业病防护采取指导</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督促措施。</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【法律】《中华人民共和国职业病防治法》（2018修正）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第三十四条第二款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用人单位应当对劳动者进行上岗前的职业卫生培训和在岗期间的定期职业卫生培训，普及职业卫生知识，督促劳动者遵守职业病防治法律、法规、规章和操作规程，指导劳动者正确使用职业病防护设备和个人使用的职业病防护用品。</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第七十条第（四）项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违反本法规定，有下列行为之一的，由卫生行政部门给予警告，责令限期改正；逾期不改正的，处十万元以下的罚款：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（四）未按照规定组织劳动者进行职业卫生培训，或者未对劳动者个人职业病防护采取指导、督促措施的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color w:val="000000"/>
                <w:spacing w:val="0"/>
                <w:w w:val="100"/>
                <w:position w:val="0"/>
                <w:shd w:val="clear" w:color="auto" w:fill="auto"/>
              </w:rPr>
              <w:t>★★★</w:t>
            </w:r>
          </w:p>
        </w:tc>
        <w:tc>
          <w:tcPr>
            <w:tcW w:w="2631"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用人单位应当在上岗前和在岗期间组织劳动者进行职业卫生培训</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指导</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督促劳动者正确使用职业病防护设备和个人使用的职业病防护用品。</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5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18</w:t>
            </w:r>
          </w:p>
        </w:tc>
        <w:tc>
          <w:tcPr>
            <w:tcW w:w="1354"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用人单位应当按照规定定期对工作场所职业病危害因素进行检 测、评价</w:t>
            </w:r>
          </w:p>
        </w:tc>
        <w:tc>
          <w:tcPr>
            <w:tcW w:w="2326"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用人单位未按照规定对工作场所职业病危害因素进行检测、评价。</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【法律】《中华人民共和国职业病防治法》（2018修正）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第二十六条第二款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用人单位应当按照国务院卫生行政部门的规定，定期对工作场所进行职业病危害因素检测、评价。检测、评价结果存入用人单位职业卫生档案，定期向所在地卫生行政部门报告并向劳动者公布。</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第七十二条第（四）项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（四）未按照规定对工作场所职业病危害因素进行检测、评价的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color w:val="000000"/>
                <w:spacing w:val="0"/>
                <w:w w:val="100"/>
                <w:position w:val="0"/>
                <w:shd w:val="clear" w:color="auto" w:fill="auto"/>
              </w:rPr>
              <w:t>★★</w:t>
            </w:r>
          </w:p>
        </w:tc>
        <w:tc>
          <w:tcPr>
            <w:tcW w:w="2631" w:type="dxa"/>
            <w:tcMar>
              <w:top w:w="57" w:type="dxa"/>
              <w:left w:w="57" w:type="dxa"/>
              <w:bottom w:w="57" w:type="dxa"/>
              <w:right w:w="57" w:type="dxa"/>
            </w:tcMar>
            <w:vAlign w:val="center"/>
          </w:tcPr>
          <w:p>
            <w:pPr>
              <w:pStyle w:val="18"/>
              <w:keepNext w:val="0"/>
              <w:keepLines w:val="0"/>
              <w:widowControl w:val="0"/>
              <w:shd w:val="clear" w:color="auto" w:fill="auto"/>
              <w:bidi w:val="0"/>
              <w:spacing w:before="0" w:after="0" w:line="240" w:lineRule="auto"/>
              <w:ind w:left="0" w:leftChars="0" w:right="0" w:rightChars="0"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用人单位应当按照规定定期对工作场所职业病危害因素进行检测</w:t>
            </w:r>
            <w:r>
              <w:rPr>
                <w:rFonts w:hint="eastAsia" w:ascii="Times New Roman" w:hAnsi="Times New Roman" w:eastAsia="方正楷体_GBK" w:cs="Times New Roman"/>
                <w:sz w:val="16"/>
                <w:szCs w:val="16"/>
                <w:lang w:val="en-US" w:eastAsia="zh-CN" w:bidi="zh-CN"/>
              </w:rPr>
              <w:t>、</w:t>
            </w:r>
            <w:r>
              <w:rPr>
                <w:rFonts w:hint="default" w:ascii="Times New Roman" w:hAnsi="Times New Roman" w:eastAsia="方正楷体_GBK" w:cs="Times New Roman"/>
                <w:sz w:val="16"/>
                <w:szCs w:val="16"/>
                <w:lang w:val="en-US" w:eastAsia="zh-CN" w:bidi="zh-CN"/>
              </w:rPr>
              <w:t>评价。</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spacing w:line="240" w:lineRule="auto"/>
              <w:ind w:left="0" w:leftChars="0" w:right="0" w:rightChars="0"/>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zh-CN" w:eastAsia="zh-CN"/>
              </w:rPr>
              <w:t>81173117</w:t>
            </w:r>
          </w:p>
        </w:tc>
      </w:tr>
    </w:tbl>
    <w:p>
      <w:pPr>
        <w:pStyle w:val="16"/>
        <w:bidi w:val="0"/>
        <w:jc w:val="both"/>
        <w:rPr>
          <w:rFonts w:hint="default" w:ascii="方正楷体_GBK" w:hAnsi="方正楷体_GBK" w:eastAsia="方正楷体_GBK" w:cs="方正楷体_GBK"/>
          <w:sz w:val="16"/>
          <w:szCs w:val="16"/>
          <w:lang w:val="en-US" w:eastAsia="zh-CN"/>
        </w:rPr>
      </w:pPr>
    </w:p>
    <w:p>
      <w:pPr>
        <w:pStyle w:val="16"/>
        <w:bidi w:val="0"/>
        <w:jc w:val="both"/>
        <w:rPr>
          <w:rFonts w:hint="default" w:ascii="方正楷体_GBK" w:hAnsi="方正楷体_GBK" w:eastAsia="方正楷体_GBK" w:cs="方正楷体_GBK"/>
          <w:sz w:val="16"/>
          <w:szCs w:val="16"/>
          <w:lang w:val="en-US" w:eastAsia="zh-CN"/>
        </w:rPr>
      </w:pPr>
    </w:p>
    <w:p>
      <w:pPr>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8"/>
              <w:keepNext w:val="0"/>
              <w:keepLines w:val="0"/>
              <w:widowControl w:val="0"/>
              <w:shd w:val="clear" w:color="auto" w:fill="auto"/>
              <w:bidi w:val="0"/>
              <w:spacing w:before="0" w:after="0" w:line="240" w:lineRule="auto"/>
              <w:ind w:left="0" w:leftChars="0" w:right="0" w:rightChars="0" w:firstLine="0" w:firstLineChars="0"/>
              <w:jc w:val="center"/>
              <w:rPr>
                <w:rFonts w:hint="eastAsia" w:ascii="宋体" w:hAnsi="宋体" w:eastAsia="宋体" w:cs="宋体"/>
                <w:sz w:val="16"/>
                <w:szCs w:val="16"/>
                <w:lang w:val="zh-CN" w:eastAsia="zh-CN" w:bidi="zh-CN"/>
              </w:rPr>
            </w:pPr>
            <w:r>
              <w:rPr>
                <w:rFonts w:ascii="Times New Roman" w:hAnsi="Times New Roman" w:eastAsia="Times New Roman" w:cs="Times New Roman"/>
                <w:color w:val="000000"/>
                <w:spacing w:val="0"/>
                <w:w w:val="100"/>
                <w:position w:val="0"/>
                <w:shd w:val="clear" w:color="auto" w:fill="auto"/>
              </w:rPr>
              <w:t>19</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用人单位应当按照规定及时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如实向卫生行政部门申报产生职业 病危害的项目</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用人单位未按照规定及 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如实向卫生行政部门申报 产生职业病危害的项目。</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【法律】《中华人民共和国职业病防治法》（2018修正）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fldChar w:fldCharType="begin"/>
            </w:r>
            <w:r>
              <w:rPr>
                <w:rFonts w:hint="default" w:ascii="Times New Roman" w:hAnsi="Times New Roman" w:eastAsia="方正楷体_GBK" w:cs="Times New Roman"/>
                <w:sz w:val="16"/>
                <w:szCs w:val="16"/>
                <w:lang w:val="en-US" w:eastAsia="zh-CN"/>
              </w:rPr>
              <w:instrText xml:space="preserve">HYPERLINK "https://law.lawtime.cn/lifadongtai/22889.html"</w:instrText>
            </w:r>
            <w:r>
              <w:rPr>
                <w:rFonts w:hint="default" w:ascii="Times New Roman" w:hAnsi="Times New Roman" w:eastAsia="方正楷体_GBK" w:cs="Times New Roman"/>
                <w:sz w:val="16"/>
                <w:szCs w:val="16"/>
                <w:lang w:val="en-US" w:eastAsia="zh-CN"/>
              </w:rPr>
              <w:fldChar w:fldCharType="separate"/>
            </w:r>
            <w:r>
              <w:rPr>
                <w:rFonts w:hint="default" w:ascii="Times New Roman" w:hAnsi="Times New Roman" w:eastAsia="方正楷体_GBK" w:cs="Times New Roman"/>
                <w:sz w:val="16"/>
                <w:szCs w:val="16"/>
                <w:lang w:val="en-US" w:eastAsia="zh-CN"/>
              </w:rPr>
              <w:t>第十六条</w:t>
            </w:r>
            <w:r>
              <w:rPr>
                <w:rFonts w:hint="default" w:ascii="Times New Roman" w:hAnsi="Times New Roman" w:eastAsia="方正楷体_GBK" w:cs="Times New Roman"/>
                <w:sz w:val="16"/>
                <w:szCs w:val="16"/>
                <w:lang w:val="en-US" w:eastAsia="zh-CN"/>
              </w:rPr>
              <w:fldChar w:fldCharType="end"/>
            </w:r>
            <w:r>
              <w:rPr>
                <w:rFonts w:hint="default" w:ascii="Times New Roman" w:hAnsi="Times New Roman" w:eastAsia="方正楷体_GBK" w:cs="Times New Roman"/>
                <w:sz w:val="16"/>
                <w:szCs w:val="16"/>
                <w:lang w:val="en-US" w:eastAsia="zh-CN"/>
              </w:rPr>
              <w:t>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用人单位工作场所存在职业病目录所列职业病的危害因素的，应当及时、如实向所在地卫生行政部门申报危害项目，接受监督。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fldChar w:fldCharType="begin"/>
            </w:r>
            <w:r>
              <w:rPr>
                <w:rFonts w:hint="default" w:ascii="Times New Roman" w:hAnsi="Times New Roman" w:eastAsia="方正楷体_GBK" w:cs="Times New Roman"/>
                <w:sz w:val="16"/>
                <w:szCs w:val="16"/>
                <w:lang w:val="en-US" w:eastAsia="zh-CN"/>
              </w:rPr>
              <w:instrText xml:space="preserve">HYPERLINK "https://law.lawtime.cn/lifadongtai/22823.html"</w:instrText>
            </w:r>
            <w:r>
              <w:rPr>
                <w:rFonts w:hint="default" w:ascii="Times New Roman" w:hAnsi="Times New Roman" w:eastAsia="方正楷体_GBK" w:cs="Times New Roman"/>
                <w:sz w:val="16"/>
                <w:szCs w:val="16"/>
                <w:lang w:val="en-US" w:eastAsia="zh-CN"/>
              </w:rPr>
              <w:fldChar w:fldCharType="separate"/>
            </w:r>
            <w:r>
              <w:rPr>
                <w:rFonts w:hint="default" w:ascii="Times New Roman" w:hAnsi="Times New Roman" w:eastAsia="方正楷体_GBK" w:cs="Times New Roman"/>
                <w:sz w:val="16"/>
                <w:szCs w:val="16"/>
                <w:lang w:val="en-US" w:eastAsia="zh-CN"/>
              </w:rPr>
              <w:t>第七十一条</w:t>
            </w:r>
            <w:r>
              <w:rPr>
                <w:rFonts w:hint="default" w:ascii="Times New Roman" w:hAnsi="Times New Roman" w:eastAsia="方正楷体_GBK" w:cs="Times New Roman"/>
                <w:sz w:val="16"/>
                <w:szCs w:val="16"/>
                <w:lang w:val="en-US" w:eastAsia="zh-CN"/>
              </w:rPr>
              <w:fldChar w:fldCharType="end"/>
            </w:r>
            <w:r>
              <w:rPr>
                <w:rFonts w:hint="default" w:ascii="Times New Roman" w:hAnsi="Times New Roman" w:eastAsia="方正楷体_GBK" w:cs="Times New Roman"/>
                <w:sz w:val="16"/>
                <w:szCs w:val="16"/>
                <w:lang w:val="en-US" w:eastAsia="zh-CN"/>
              </w:rPr>
              <w:t>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用人单位违反本法规定，有下列行为之一的，由卫生行政部门责令限期改正，给予警告，可以并处五万元以上十万元以下的罚款：</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（一）未按照规定及时、如实向卫生行政部门申报产生职业病危害的项目的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用人单位应当按照规定及时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如实向卫生行政部门申报产生职业病危害的项目</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申报周期为一年一次。</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法规科</w:t>
            </w:r>
          </w:p>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81173117</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rPr>
          <w:rFonts w:hint="default"/>
          <w:lang w:val="en-US" w:eastAsia="zh-CN"/>
        </w:rPr>
      </w:pPr>
      <w:r>
        <w:rPr>
          <w:rFonts w:hint="default"/>
          <w:lang w:val="en-US" w:eastAsia="zh-CN"/>
        </w:rPr>
        <w:br w:type="page"/>
      </w:r>
    </w:p>
    <w:p>
      <w:pPr>
        <w:pStyle w:val="2"/>
        <w:bidi w:val="0"/>
        <w:ind w:left="0" w:leftChars="0" w:firstLine="0" w:firstLineChars="0"/>
        <w:jc w:val="center"/>
        <w:rPr>
          <w:rFonts w:hint="eastAsia" w:ascii="方正小标宋_GBK" w:hAnsi="方正小标宋_GBK" w:eastAsia="方正小标宋_GBK" w:cs="方正小标宋_GBK"/>
          <w:sz w:val="44"/>
          <w:szCs w:val="44"/>
          <w:lang w:val="en-US" w:eastAsia="zh-CN"/>
        </w:rPr>
      </w:pPr>
      <w:bookmarkStart w:id="13" w:name="_Toc12555"/>
      <w:r>
        <w:rPr>
          <w:rFonts w:hint="eastAsia" w:ascii="方正小标宋_GBK" w:hAnsi="方正小标宋_GBK" w:eastAsia="方正小标宋_GBK" w:cs="方正小标宋_GBK"/>
          <w:sz w:val="44"/>
          <w:szCs w:val="44"/>
          <w:lang w:val="en-US" w:eastAsia="zh-CN"/>
        </w:rPr>
        <w:t>无锡市滨湖区住房和城乡建设局涉企行政合规指导清单</w:t>
      </w:r>
      <w:bookmarkEnd w:id="13"/>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r>
        <w:rPr>
          <w:rFonts w:hint="eastAsia" w:ascii="楷体" w:eastAsia="楷体"/>
          <w:sz w:val="28"/>
          <w:szCs w:val="28"/>
          <w:lang w:val="en-US" w:eastAsia="zh-CN"/>
        </w:rPr>
        <w:t>适用于房产开发、房产经纪、物业服务企业：</w:t>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房地产经纪机构与委托人签订房屋出售、出租经纪服务合同时应查看有关资料、编制房屋状况说明，经委托人书面同意后对外发布相应房源信息</w:t>
            </w:r>
          </w:p>
        </w:tc>
        <w:tc>
          <w:tcPr>
            <w:tcW w:w="2326"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before="1" w:line="240" w:lineRule="auto"/>
              <w:ind w:left="0" w:leftChars="0" w:right="85" w:rightChars="0" w:firstLine="320" w:firstLineChars="200"/>
              <w:jc w:val="both"/>
              <w:textAlignment w:val="auto"/>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房地产经纪机构未经委托人书面同意擅自对外发布房源信息。</w:t>
            </w:r>
          </w:p>
        </w:tc>
        <w:tc>
          <w:tcPr>
            <w:tcW w:w="5526"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【部门规章】《房地产经纪管理办法》（2016 修正）</w:t>
            </w:r>
          </w:p>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第二十二条第一款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地产经纪机构与委托人签订房屋出售、出租经纪服务合同，应当查看委托出售、出租的房屋及房屋权属证书，委托人的身份证明等有关资料，并应当编制房屋状况说明书。经委托人书面同意后，方可以对外发布相应的房源信息。</w:t>
            </w:r>
          </w:p>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第三十五条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违反本办法第二十二条，房地产经纪机构擅自对外发布房源信息的，由县级以上地方人民政府建设（房地产）主管部门责令限期改正，记入信用档案，取消网上签约资格，并处以1万元以上3万元以下罚款。</w:t>
            </w:r>
          </w:p>
        </w:tc>
        <w:tc>
          <w:tcPr>
            <w:tcW w:w="750"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before="128" w:line="240" w:lineRule="auto"/>
              <w:ind w:left="21" w:leftChars="0" w:right="0" w:rightChars="0"/>
              <w:jc w:val="center"/>
              <w:textAlignment w:val="auto"/>
              <w:rPr>
                <w:rFonts w:hint="default"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color w:val="000000" w:themeColor="text1"/>
                <w:sz w:val="16"/>
              </w:rPr>
              <w:t>★</w:t>
            </w:r>
          </w:p>
        </w:tc>
        <w:tc>
          <w:tcPr>
            <w:tcW w:w="2631"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房地产经纪机构与委托人签订房屋出售</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出租经纪服务合同时应查看有关资料</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编制房屋状况说明书</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经委托人书面同意后对外发布相应房源信息</w:t>
            </w:r>
            <w:r>
              <w:rPr>
                <w:rFonts w:hint="eastAsia" w:ascii="Times New Roman" w:hAnsi="Times New Roman" w:eastAsia="方正楷体_GBK" w:cs="Times New Roman"/>
                <w:sz w:val="16"/>
                <w:szCs w:val="16"/>
                <w:lang w:val="en-US" w:eastAsia="zh-CN"/>
              </w:rPr>
              <w:t>。</w:t>
            </w:r>
          </w:p>
        </w:tc>
        <w:tc>
          <w:tcPr>
            <w:tcW w:w="1117"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安置管理科</w:t>
            </w:r>
          </w:p>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81178767</w:t>
            </w:r>
          </w:p>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81178730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受托房地产中介服务机构销售商品房时，应当如实向买受人介绍所代理销售商品房的有关情况。受托房地产中介服务机构不得代理销售不符合销售条件的商品房</w:t>
            </w:r>
          </w:p>
        </w:tc>
        <w:tc>
          <w:tcPr>
            <w:tcW w:w="2326" w:type="dxa"/>
            <w:tcMar>
              <w:top w:w="57" w:type="dxa"/>
              <w:left w:w="57" w:type="dxa"/>
              <w:bottom w:w="57" w:type="dxa"/>
              <w:right w:w="57" w:type="dxa"/>
            </w:tcMar>
            <w:vAlign w:val="center"/>
          </w:tcPr>
          <w:p>
            <w:pPr>
              <w:keepNext w:val="0"/>
              <w:keepLines w:val="0"/>
              <w:pageBreakBefore w:val="0"/>
              <w:widowControl/>
              <w:shd w:val="clear" w:color="auto" w:fill="FFFFFF"/>
              <w:kinsoku/>
              <w:wordWrap/>
              <w:overflowPunct/>
              <w:topLinePunct w:val="0"/>
              <w:autoSpaceDE w:val="0"/>
              <w:autoSpaceDN w:val="0"/>
              <w:bidi w:val="0"/>
              <w:adjustRightInd/>
              <w:snapToGrid/>
              <w:spacing w:line="240" w:lineRule="auto"/>
              <w:ind w:right="0" w:rightChars="0" w:firstLine="320" w:firstLineChars="200"/>
              <w:jc w:val="both"/>
              <w:textAlignment w:val="auto"/>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受托房地产中介服务机构代理销售不符合销售条件的商品房。</w:t>
            </w:r>
          </w:p>
        </w:tc>
        <w:tc>
          <w:tcPr>
            <w:tcW w:w="5526"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【部门规章】《商品房销售管理办法》</w:t>
            </w:r>
          </w:p>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第四十三条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房地产中介服务机构代理销售不符合销售条件的商品房的，处以警告，责令停止销售，并可处以２万元以上３万元以下罚款。</w:t>
            </w:r>
          </w:p>
        </w:tc>
        <w:tc>
          <w:tcPr>
            <w:tcW w:w="750"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ind w:left="21" w:leftChars="0" w:right="0" w:rightChars="0"/>
              <w:jc w:val="center"/>
              <w:textAlignment w:val="auto"/>
              <w:rPr>
                <w:rFonts w:hint="default"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color w:val="000000" w:themeColor="text1"/>
                <w:sz w:val="16"/>
              </w:rPr>
              <w:t>★</w:t>
            </w:r>
          </w:p>
        </w:tc>
        <w:tc>
          <w:tcPr>
            <w:tcW w:w="2631"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受托房地产中介服务机构销售商品房时</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应当如实向买受人介绍所代理销售商品房的有关情况</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受托房地产中介服务机构不得代理销售不符合销售条件的商品房</w:t>
            </w:r>
            <w:r>
              <w:rPr>
                <w:rFonts w:hint="eastAsia" w:ascii="Times New Roman" w:hAnsi="Times New Roman" w:eastAsia="方正楷体_GBK" w:cs="Times New Roman"/>
                <w:sz w:val="16"/>
                <w:szCs w:val="16"/>
                <w:lang w:val="en-US" w:eastAsia="zh-CN"/>
              </w:rPr>
              <w:t>。</w:t>
            </w:r>
          </w:p>
        </w:tc>
        <w:tc>
          <w:tcPr>
            <w:tcW w:w="1117"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安置管理科</w:t>
            </w:r>
          </w:p>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81178767</w:t>
            </w:r>
          </w:p>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81178730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7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对不符合商品房销售条件的商品房，开发企业不得向买受人收取任何预订款性质费用</w:t>
            </w:r>
          </w:p>
        </w:tc>
        <w:tc>
          <w:tcPr>
            <w:tcW w:w="2326"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ind w:left="0" w:leftChars="0" w:right="85" w:rightChars="0" w:firstLine="320" w:firstLineChars="200"/>
              <w:jc w:val="both"/>
              <w:textAlignment w:val="auto"/>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房地产开发企业不符合商品房销售条件，向买受人收取预订款性质费用。</w:t>
            </w:r>
          </w:p>
        </w:tc>
        <w:tc>
          <w:tcPr>
            <w:tcW w:w="5526"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【部门规章】《商品房销售管理办法》</w:t>
            </w:r>
          </w:p>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第二十二条第一款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不符合商品房销售条件的，房地产开发企业不得销售商品房，不得向买受人收取任何预订款性质费用。</w:t>
            </w:r>
          </w:p>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第四十二条第（六）项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房地产开发企业在销售商品房中有下列行为之一的，处以警告，责令限期改正，并可处以１万元以上３万元以下罚款。</w:t>
            </w:r>
          </w:p>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（六）不符合商品房销售条件，向买受人收取预订款性质费用的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ind w:left="21" w:leftChars="0" w:right="0" w:rightChars="0"/>
              <w:jc w:val="center"/>
              <w:textAlignment w:val="auto"/>
              <w:rPr>
                <w:rFonts w:hint="default" w:ascii="Times New Roman" w:hAnsi="Times New Roman" w:eastAsia="方正楷体_GBK" w:cs="Times New Roman"/>
                <w:sz w:val="16"/>
                <w:szCs w:val="22"/>
                <w:lang w:val="zh-CN" w:eastAsia="zh-CN" w:bidi="zh-CN"/>
              </w:rPr>
            </w:pPr>
            <w:r>
              <w:rPr>
                <w:rFonts w:hint="default" w:ascii="Times New Roman" w:hAnsi="Times New Roman" w:eastAsia="方正楷体_GBK" w:cs="Times New Roman"/>
                <w:color w:val="000000" w:themeColor="text1"/>
                <w:sz w:val="16"/>
              </w:rPr>
              <w:t>★</w:t>
            </w:r>
          </w:p>
        </w:tc>
        <w:tc>
          <w:tcPr>
            <w:tcW w:w="2631"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符合商品房销售条件的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可以向买受人收取预订款性质费用。</w:t>
            </w:r>
          </w:p>
        </w:tc>
        <w:tc>
          <w:tcPr>
            <w:tcW w:w="1117"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安置管理科</w:t>
            </w:r>
          </w:p>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81178767</w:t>
            </w:r>
          </w:p>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81178730</w:t>
            </w:r>
          </w:p>
        </w:tc>
      </w:tr>
    </w:tbl>
    <w:p>
      <w:pPr>
        <w:pStyle w:val="16"/>
        <w:bidi w:val="0"/>
        <w:jc w:val="center"/>
        <w:rPr>
          <w:rFonts w:hint="eastAsia" w:ascii="黑体" w:hAnsi="黑体" w:eastAsia="黑体" w:cs="黑体"/>
          <w:b/>
          <w:bCs/>
        </w:rPr>
      </w:pPr>
      <w:r>
        <w:rPr>
          <w:rFonts w:hint="eastAsia" w:ascii="黑体" w:hAnsi="黑体" w:eastAsia="黑体" w:cs="黑体"/>
          <w:b/>
          <w:bCs/>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序号</w:t>
            </w:r>
          </w:p>
        </w:tc>
        <w:tc>
          <w:tcPr>
            <w:tcW w:w="1354" w:type="dxa"/>
            <w:tcMar>
              <w:top w:w="57" w:type="dxa"/>
              <w:left w:w="57" w:type="dxa"/>
              <w:bottom w:w="57"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合规事项</w:t>
            </w:r>
          </w:p>
        </w:tc>
        <w:tc>
          <w:tcPr>
            <w:tcW w:w="2326" w:type="dxa"/>
            <w:tcMar>
              <w:top w:w="57" w:type="dxa"/>
              <w:left w:w="57" w:type="dxa"/>
              <w:bottom w:w="57"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常见违法行为表现</w:t>
            </w:r>
          </w:p>
        </w:tc>
        <w:tc>
          <w:tcPr>
            <w:tcW w:w="5526" w:type="dxa"/>
            <w:tcMar>
              <w:top w:w="57" w:type="dxa"/>
              <w:left w:w="57" w:type="dxa"/>
              <w:bottom w:w="57"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tcMar>
              <w:top w:w="57" w:type="dxa"/>
              <w:left w:w="57" w:type="dxa"/>
              <w:bottom w:w="57" w:type="dxa"/>
              <w:right w:w="57" w:type="dxa"/>
            </w:tcMar>
            <w:vAlign w:val="center"/>
          </w:tcPr>
          <w:p>
            <w:pPr>
              <w:pStyle w:val="16"/>
              <w:bidi w:val="0"/>
              <w:jc w:val="center"/>
              <w:rPr>
                <w:rFonts w:hint="eastAsia" w:ascii="黑体" w:hAnsi="黑体" w:eastAsia="黑体" w:cs="黑体"/>
                <w:b/>
                <w:bCs/>
              </w:rPr>
            </w:pPr>
            <w:r>
              <w:rPr>
                <w:rFonts w:hint="eastAsia" w:ascii="黑体" w:hAnsi="黑体" w:eastAsia="黑体" w:cs="黑体"/>
                <w:b/>
                <w:bCs/>
              </w:rPr>
              <w:t>风险</w:t>
            </w:r>
          </w:p>
          <w:p>
            <w:pPr>
              <w:pStyle w:val="16"/>
              <w:bidi w:val="0"/>
              <w:jc w:val="center"/>
              <w:rPr>
                <w:rFonts w:hint="eastAsia" w:ascii="黑体" w:hAnsi="黑体" w:eastAsia="黑体" w:cs="黑体"/>
                <w:b/>
                <w:bCs/>
                <w:lang w:val="en-US" w:eastAsia="zh-CN"/>
              </w:rPr>
            </w:pPr>
            <w:r>
              <w:rPr>
                <w:rFonts w:hint="eastAsia" w:ascii="黑体" w:hAnsi="黑体" w:eastAsia="黑体" w:cs="黑体"/>
                <w:b/>
                <w:bCs/>
              </w:rPr>
              <w:t>等级</w:t>
            </w:r>
          </w:p>
        </w:tc>
        <w:tc>
          <w:tcPr>
            <w:tcW w:w="2631" w:type="dxa"/>
            <w:tcMar>
              <w:top w:w="57" w:type="dxa"/>
              <w:left w:w="57" w:type="dxa"/>
              <w:bottom w:w="57" w:type="dxa"/>
              <w:right w:w="57" w:type="dxa"/>
            </w:tcMar>
            <w:vAlign w:val="center"/>
          </w:tcPr>
          <w:p>
            <w:pPr>
              <w:pStyle w:val="16"/>
              <w:bidi w:val="0"/>
              <w:jc w:val="center"/>
              <w:rPr>
                <w:rFonts w:hint="eastAsia" w:ascii="黑体" w:hAnsi="黑体" w:eastAsia="黑体" w:cs="黑体"/>
                <w:b/>
                <w:bCs/>
                <w:lang w:val="en-US" w:eastAsia="zh-CN"/>
              </w:rPr>
            </w:pPr>
            <w:r>
              <w:rPr>
                <w:rFonts w:hint="eastAsia" w:ascii="黑体" w:hAnsi="黑体" w:eastAsia="黑体" w:cs="黑体"/>
                <w:b/>
                <w:bCs/>
              </w:rPr>
              <w:t>合规建议</w:t>
            </w:r>
          </w:p>
        </w:tc>
        <w:tc>
          <w:tcPr>
            <w:tcW w:w="1117" w:type="dxa"/>
            <w:tcMar>
              <w:top w:w="57" w:type="dxa"/>
              <w:left w:w="57" w:type="dxa"/>
              <w:bottom w:w="57" w:type="dxa"/>
              <w:right w:w="57" w:type="dxa"/>
            </w:tcMar>
            <w:vAlign w:val="center"/>
          </w:tcPr>
          <w:p>
            <w:pPr>
              <w:pStyle w:val="16"/>
              <w:bidi w:val="0"/>
              <w:jc w:val="center"/>
              <w:rPr>
                <w:rFonts w:hint="eastAsia" w:ascii="黑体" w:hAnsi="黑体" w:eastAsia="黑体" w:cs="黑体"/>
                <w:b/>
                <w:bCs/>
              </w:rPr>
            </w:pPr>
            <w:r>
              <w:rPr>
                <w:rFonts w:hint="eastAsia" w:ascii="黑体" w:hAnsi="黑体" w:eastAsia="黑体" w:cs="黑体"/>
                <w:b/>
                <w:bCs/>
              </w:rPr>
              <w:t>指导部门</w:t>
            </w:r>
          </w:p>
          <w:p>
            <w:pPr>
              <w:pStyle w:val="16"/>
              <w:bidi w:val="0"/>
              <w:jc w:val="center"/>
              <w:rPr>
                <w:rFonts w:hint="eastAsia" w:ascii="黑体" w:hAnsi="黑体" w:eastAsia="黑体" w:cs="黑体"/>
                <w:b/>
                <w:bCs/>
                <w:lang w:val="en-US" w:eastAsia="zh-CN"/>
              </w:rPr>
            </w:pPr>
            <w:r>
              <w:rPr>
                <w:rFonts w:hint="eastAsia" w:ascii="黑体" w:hAnsi="黑体" w:eastAsia="黑体" w:cs="黑体"/>
                <w:b/>
                <w:bCs/>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物业服务企业应当依法办理承接查验备案手续，并将承接查验情况在物业管理区域内显著位置公告</w:t>
            </w:r>
          </w:p>
        </w:tc>
        <w:tc>
          <w:tcPr>
            <w:tcW w:w="2326"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ind w:right="85" w:rightChars="0" w:firstLine="320" w:firstLineChars="200"/>
              <w:jc w:val="both"/>
              <w:textAlignment w:val="auto"/>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物业服务企业未将物业承接查验情况在物业管理区域内显著位置公告</w:t>
            </w:r>
            <w:r>
              <w:rPr>
                <w:rFonts w:hint="eastAsia" w:ascii="Times New Roman" w:hAnsi="Times New Roman" w:eastAsia="方正楷体_GBK" w:cs="Times New Roman"/>
                <w:sz w:val="16"/>
                <w:szCs w:val="16"/>
                <w:lang w:val="en-US" w:eastAsia="zh-CN" w:bidi="zh-CN"/>
              </w:rPr>
              <w:t>。</w:t>
            </w:r>
          </w:p>
        </w:tc>
        <w:tc>
          <w:tcPr>
            <w:tcW w:w="5526"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both"/>
              <w:textAlignment w:val="auto"/>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【地方性法规】</w:t>
            </w:r>
            <w:r>
              <w:rPr>
                <w:rFonts w:hint="default" w:ascii="Times New Roman" w:hAnsi="Times New Roman" w:eastAsia="方正楷体_GBK" w:cs="Times New Roman"/>
                <w:sz w:val="16"/>
                <w:szCs w:val="16"/>
                <w:lang w:val="en-US" w:eastAsia="zh-CN"/>
              </w:rPr>
              <w:t>《无锡市物业管理条例》</w:t>
            </w:r>
            <w:r>
              <w:rPr>
                <w:rFonts w:hint="eastAsia" w:ascii="Times New Roman" w:hAnsi="Times New Roman" w:eastAsia="方正楷体_GBK" w:cs="Times New Roman"/>
                <w:sz w:val="16"/>
                <w:szCs w:val="16"/>
                <w:lang w:val="en-US" w:eastAsia="zh-CN"/>
              </w:rPr>
              <w:t>（2021修正）</w:t>
            </w:r>
          </w:p>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第三十一条第二款  物业服务企业应当依法办理承接查验备案手续，并将承接查验情况在物业管理区域内显著位置公告。</w:t>
            </w:r>
          </w:p>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第六十七条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违反本条例第三十一条第二款规定，物业服务企业未将物业承接查验情况在物业管理区域内显著位置公告的，由县级市、区物业管理行政主管部门责令限期改正；逾期未改正的，处以二万元以上十万元以下罚款。</w:t>
            </w:r>
          </w:p>
        </w:tc>
        <w:tc>
          <w:tcPr>
            <w:tcW w:w="750"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before="1" w:line="240" w:lineRule="auto"/>
              <w:ind w:left="126" w:leftChars="0" w:right="107" w:rightChars="0"/>
              <w:jc w:val="center"/>
              <w:textAlignment w:val="auto"/>
              <w:rPr>
                <w:rFonts w:hint="default" w:ascii="Times New Roman" w:hAnsi="Times New Roman" w:eastAsia="方正楷体_GBK" w:cs="Times New Roman"/>
                <w:color w:val="000000" w:themeColor="text1"/>
                <w:sz w:val="16"/>
                <w:szCs w:val="22"/>
                <w:lang w:val="zh-CN" w:eastAsia="zh-CN" w:bidi="zh-CN"/>
              </w:rPr>
            </w:pPr>
            <w:r>
              <w:rPr>
                <w:rFonts w:hint="default" w:ascii="Times New Roman" w:hAnsi="Times New Roman" w:eastAsia="方正楷体_GBK" w:cs="Times New Roman"/>
                <w:color w:val="000000" w:themeColor="text1"/>
                <w:spacing w:val="6"/>
                <w:sz w:val="16"/>
              </w:rPr>
              <w:t>★</w:t>
            </w:r>
          </w:p>
        </w:tc>
        <w:tc>
          <w:tcPr>
            <w:tcW w:w="2631"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ind w:firstLine="320" w:firstLineChars="200"/>
              <w:jc w:val="both"/>
              <w:textAlignment w:val="auto"/>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物业服务企业应当依法办理承接查验备案手续，并将承接查验情况在物业管理区域内显著位置公告。</w:t>
            </w:r>
          </w:p>
        </w:tc>
        <w:tc>
          <w:tcPr>
            <w:tcW w:w="1117" w:type="dxa"/>
            <w:tcMar>
              <w:top w:w="57" w:type="dxa"/>
              <w:left w:w="57" w:type="dxa"/>
              <w:bottom w:w="57" w:type="dxa"/>
              <w:right w:w="57" w:type="dxa"/>
            </w:tcMar>
            <w:vAlign w:val="center"/>
          </w:tcPr>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物业管理科</w:t>
            </w:r>
          </w:p>
          <w:p>
            <w:pPr>
              <w:pStyle w:val="16"/>
              <w:keepNext w:val="0"/>
              <w:keepLines w:val="0"/>
              <w:pageBreakBefore w:val="0"/>
              <w:kinsoku/>
              <w:wordWrap/>
              <w:overflowPunct/>
              <w:topLinePunct w:val="0"/>
              <w:autoSpaceDE w:val="0"/>
              <w:autoSpaceDN w:val="0"/>
              <w:bidi w:val="0"/>
              <w:adjustRightInd/>
              <w:snapToGrid/>
              <w:spacing w:line="240" w:lineRule="auto"/>
              <w:jc w:val="center"/>
              <w:textAlignment w:val="auto"/>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81178768</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szCs w:val="28"/>
          <w:lang w:val="en-US" w:eastAsia="zh-CN"/>
        </w:rPr>
      </w:pPr>
      <w:bookmarkStart w:id="14" w:name="_Toc31427"/>
      <w:r>
        <w:rPr>
          <w:rFonts w:hint="eastAsia" w:ascii="楷体" w:eastAsia="楷体"/>
          <w:sz w:val="28"/>
          <w:szCs w:val="28"/>
          <w:lang w:val="en-US" w:eastAsia="zh-CN"/>
        </w:rPr>
        <w:t>适用于建设单位：</w:t>
      </w:r>
      <w:bookmarkEnd w:id="14"/>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13"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建设单位应当对建设工程组织竣工验收后交付使用</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建设单位未组织竣工验收擅自交付使用。</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【行政法规】《建设工程质量管理条例》（2019修订）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第十六条第三款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建设工程经验收合格的，方可交付使用。</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第五十八条</w:t>
            </w:r>
            <w:r>
              <w:rPr>
                <w:rFonts w:hint="eastAsia" w:ascii="Times New Roman" w:hAnsi="Times New Roman" w:eastAsia="方正楷体_GBK" w:cs="Times New Roman"/>
                <w:sz w:val="16"/>
                <w:szCs w:val="16"/>
                <w:lang w:val="en-US" w:eastAsia="zh-CN"/>
              </w:rPr>
              <w:t>第一款</w:t>
            </w:r>
            <w:r>
              <w:rPr>
                <w:rFonts w:hint="default" w:ascii="Times New Roman" w:hAnsi="Times New Roman" w:eastAsia="方正楷体_GBK" w:cs="Times New Roman"/>
                <w:sz w:val="16"/>
                <w:szCs w:val="16"/>
                <w:lang w:val="en-US" w:eastAsia="zh-CN"/>
              </w:rPr>
              <w:t>第（</w:t>
            </w: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违反本条例规定，建设单位有下列行为之一的， 责令改正，处工程合同价款2％以上4％以下的罚款；造成损失的，依法承担赔偿责任：</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未组织竣工验收，擅自交付使用的；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建设单位应当对建设工程组织竣工验收后交付使用。</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区建设工程质量安全监督站</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办公室</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85865219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5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依法应当进行消防设计审查的建设工程，在施工前应进行消防设计审查</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特殊建设工程未经消防设计审查或者审查不合格的， 建设单位、施工单位擅自进行施工</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其他建设工程，建设单位未提供满足施工需要的消防设计图纸及技术资料的，建设单位、施工单位擅自进行施工。</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【法律】《中华人民共和国消防法》（2021修正）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特殊建设工程未经消防设计审查或者审查不合格的，建设单位、施工单位不得施工；其他建设工程，建设单位未提供满足施工需要的消防设计图纸及技术资料的，有关部门不得发放施工许可证或者批准开工报告。</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第五十八条</w:t>
            </w:r>
            <w:r>
              <w:rPr>
                <w:rFonts w:hint="eastAsia" w:ascii="Times New Roman" w:hAnsi="Times New Roman" w:eastAsia="方正楷体_GBK" w:cs="Times New Roman"/>
                <w:sz w:val="16"/>
                <w:szCs w:val="16"/>
                <w:lang w:val="en-US" w:eastAsia="zh-CN"/>
              </w:rPr>
              <w:t>第一款</w:t>
            </w:r>
            <w:r>
              <w:rPr>
                <w:rFonts w:hint="default" w:ascii="Times New Roman" w:hAnsi="Times New Roman" w:eastAsia="方正楷体_GBK" w:cs="Times New Roman"/>
                <w:sz w:val="16"/>
                <w:szCs w:val="16"/>
                <w:lang w:val="en-US" w:eastAsia="zh-CN"/>
              </w:rPr>
              <w:t>第（一）项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违反本法规定，有下列行为之一的，由住房和城乡建设主管部门、消防救援机构按照各自职权责令停止施工、停止使用或者停产停业，并处三万元以上三十万元以下罚款：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（一）依法应当进行消防设计审查的建设工程，未经依法审查或者审查不合格</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擅自施工的；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及时进行消防设计审查。</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根据政务服务窗口或者官网上提供的事项清单，提供完整准确的消防设计图纸及技术资料。</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消防审验科</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81178709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1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依法应当进行消防验收的建设工程需经消防验收合格才能投入使用</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依法应当进行消防验收的建设工程，未经消防验收或者消防验收不合格的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擅自投入使用。</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【法律】《中华人民共和国消防法》（2021修正）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第十三条第三款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依法应当进行消防验收的建设工程，未经消防验收或者消防验收不合格的，禁止投入使用；其他建设工程经依法抽查不合格的，应当停止使用。</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第五十八条</w:t>
            </w:r>
            <w:r>
              <w:rPr>
                <w:rFonts w:hint="eastAsia" w:ascii="Times New Roman" w:hAnsi="Times New Roman" w:eastAsia="方正楷体_GBK" w:cs="Times New Roman"/>
                <w:sz w:val="16"/>
                <w:szCs w:val="16"/>
                <w:lang w:val="en-US" w:eastAsia="zh-CN"/>
              </w:rPr>
              <w:t>第一款</w:t>
            </w:r>
            <w:r>
              <w:rPr>
                <w:rFonts w:hint="default" w:ascii="Times New Roman" w:hAnsi="Times New Roman" w:eastAsia="方正楷体_GBK" w:cs="Times New Roman"/>
                <w:sz w:val="16"/>
                <w:szCs w:val="16"/>
                <w:lang w:val="en-US" w:eastAsia="zh-CN"/>
              </w:rPr>
              <w:t>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违反本法规定，有下列行为之一的，由住房和城乡建设主管部门、消防救援机构按照各自职权责令停止施工、停止使用或者停产停业，并处三万元以上三十万元以下罚款：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（二）依法应当进行消防验收的建设工程，未经消防验收或者消防验收不合格，擅自投入使用的；</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建设工程严格按照已审查合格的施工图施工，依法申请消防验收，并对不合格的问题进行整改，直至验收合格。</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消防审验科</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81178709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76"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建设单位应依照规定进行竣工消防验收备案</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建设单位未依照规定进行竣工消防验收备案。</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【法律】《中华人民共和国消防法》（2021修正）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第十三条第一款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国务院住房和城乡建设主管部门规定应当申请消防验收的建设工程竣工，建设单位应当向住房和城乡建设主管部门申请消防验收。</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第十三条第</w:t>
            </w: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前款规定以外的其他建设工程，建设单位在验收后应当报住房和城乡建设主管部门备案，住房和城乡建设主管部门应当进行抽查。</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第五十八条第三款 建设单位未依照本法规定在验收后报住房和城乡建设主管部门备案的，由住房和城乡建设主管部门责令改正，处五千元以下罚款。</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建设单位在验收后应当报行政审批中心住建窗口备案。</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消防审验科</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81178709</w:t>
            </w:r>
          </w:p>
        </w:tc>
      </w:tr>
    </w:tbl>
    <w:p>
      <w:pPr>
        <w:rPr>
          <w:rFonts w:hint="eastAsia"/>
          <w:lang w:val="en-US" w:eastAsia="zh-CN"/>
        </w:rPr>
      </w:pPr>
    </w:p>
    <w:p>
      <w:pPr>
        <w:rPr>
          <w:rFonts w:hint="eastAsia"/>
          <w:lang w:val="en-US" w:eastAsia="zh-CN"/>
        </w:rPr>
      </w:pPr>
      <w:r>
        <w:rPr>
          <w:rFonts w:hint="eastAsia"/>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88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57" w:type="dxa"/>
              <w:left w:w="57" w:type="dxa"/>
              <w:bottom w:w="57" w:type="dxa"/>
              <w:right w:w="57" w:type="dxa"/>
            </w:tcMar>
            <w:vAlign w:val="center"/>
          </w:tcPr>
          <w:p>
            <w:pPr>
              <w:pStyle w:val="16"/>
              <w:bidi w:val="0"/>
              <w:spacing w:line="240" w:lineRule="auto"/>
              <w:jc w:val="both"/>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依法应当公开招标的项目应按照法定方式公开招标</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应当公开招标而不公开招标。</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w:t>
            </w:r>
            <w:r>
              <w:rPr>
                <w:rFonts w:hint="eastAsia" w:ascii="Times New Roman" w:hAnsi="Times New Roman" w:eastAsia="方正楷体_GBK" w:cs="Times New Roman"/>
                <w:sz w:val="16"/>
                <w:szCs w:val="16"/>
                <w:lang w:val="en-US" w:eastAsia="zh-CN"/>
              </w:rPr>
              <w:t>部门规章</w:t>
            </w:r>
            <w:r>
              <w:rPr>
                <w:rFonts w:hint="default" w:ascii="Times New Roman" w:hAnsi="Times New Roman" w:eastAsia="方正楷体_GBK" w:cs="Times New Roman"/>
                <w:sz w:val="16"/>
                <w:szCs w:val="16"/>
                <w:lang w:val="zh-CN" w:eastAsia="zh-CN"/>
              </w:rPr>
              <w:t>】《必须招标的工程项目规定》</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全部或者部分使用国有资金投资或者国家融资的项目包括：（</w:t>
            </w:r>
            <w:r>
              <w:rPr>
                <w:rFonts w:hint="default"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zh-CN" w:eastAsia="zh-CN"/>
              </w:rPr>
              <w:t>）使用预算资金200 万元人民币以上，并且该资金占投资额10%以上的项目；（</w:t>
            </w:r>
            <w:r>
              <w:rPr>
                <w:rFonts w:hint="default"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zh-CN" w:eastAsia="zh-CN"/>
              </w:rPr>
              <w:t>）使用国有企业事业单位资金，并且该资金占控股或者主导地位的项目。</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第五条</w:t>
            </w:r>
            <w:r>
              <w:rPr>
                <w:rFonts w:hint="default"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本规定第二条至第四条规定范围内的项目，其勘察、设计、施工、监理以及与工程建设有关的重要设备、材料等的采购达到下列标准之一的，必须招标：（</w:t>
            </w:r>
            <w:r>
              <w:rPr>
                <w:rFonts w:hint="default"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zh-CN" w:eastAsia="zh-CN"/>
              </w:rPr>
              <w:t>）施工单项合同估算价在400 万元人民币以上；（</w:t>
            </w:r>
            <w:r>
              <w:rPr>
                <w:rFonts w:hint="default"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zh-CN" w:eastAsia="zh-CN"/>
              </w:rPr>
              <w:t>）重要设备、材料等货物的采购，单项合同估算价在200万元人民币以上；（</w:t>
            </w:r>
            <w:r>
              <w:rPr>
                <w:rFonts w:hint="default"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zh-CN" w:eastAsia="zh-CN"/>
              </w:rPr>
              <w:t>）勘察、设计、监理等服务的采购，单项合同估算价在100万元人民币以上。</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同一项目中可以合并进行的勘察、设计、施工、监理以及与工程建设有关的重要设备、材料等的采购，合同估算价合计达到前款规定标准的，必须招标。</w:t>
            </w:r>
          </w:p>
          <w:p>
            <w:pPr>
              <w:pStyle w:val="16"/>
              <w:bidi w:val="0"/>
              <w:spacing w:line="240" w:lineRule="auto"/>
              <w:jc w:val="both"/>
              <w:rPr>
                <w:rFonts w:hint="eastAsia"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【法律】《中华人民共和国招标投标法》</w:t>
            </w:r>
            <w:r>
              <w:rPr>
                <w:rFonts w:hint="eastAsia" w:ascii="Times New Roman" w:hAnsi="Times New Roman" w:eastAsia="方正楷体_GBK" w:cs="Times New Roman"/>
                <w:sz w:val="16"/>
                <w:szCs w:val="16"/>
                <w:lang w:val="zh-CN" w:eastAsia="zh-CN"/>
              </w:rPr>
              <w:t>（</w:t>
            </w:r>
            <w:r>
              <w:rPr>
                <w:rFonts w:hint="eastAsia" w:ascii="Times New Roman" w:hAnsi="Times New Roman" w:eastAsia="方正楷体_GBK" w:cs="Times New Roman"/>
                <w:sz w:val="16"/>
                <w:szCs w:val="16"/>
                <w:lang w:val="en-US" w:eastAsia="zh-CN"/>
              </w:rPr>
              <w:t>2017修正</w:t>
            </w:r>
            <w:r>
              <w:rPr>
                <w:rFonts w:hint="eastAsia" w:ascii="Times New Roman" w:hAnsi="Times New Roman" w:eastAsia="方正楷体_GBK" w:cs="Times New Roman"/>
                <w:sz w:val="16"/>
                <w:szCs w:val="16"/>
                <w:lang w:val="zh-CN"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zh-CN" w:eastAsia="zh-CN"/>
              </w:rPr>
              <w:t>第四十九条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zh-CN" w:eastAsia="zh-CN"/>
              </w:rP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cs="Times New Roman"/>
                <w:sz w:val="16"/>
                <w:szCs w:val="16"/>
                <w:lang w:val="zh-CN" w:eastAsia="zh-CN"/>
              </w:rPr>
            </w:pPr>
            <w:r>
              <w:rPr>
                <w:rFonts w:hint="default" w:ascii="Times New Roman" w:hAnsi="Times New Roman"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招标人应对项目情况进行深入研究，明确招标方式。</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方正楷体_GBK" w:hAnsi="方正楷体_GBK" w:eastAsia="方正楷体_GBK" w:cs="方正楷体_GBK"/>
                <w:sz w:val="16"/>
                <w:szCs w:val="16"/>
                <w:lang w:val="en-US" w:eastAsia="zh-CN"/>
              </w:rPr>
            </w:pPr>
            <w:r>
              <w:rPr>
                <w:rFonts w:hint="eastAsia" w:ascii="方正楷体_GBK" w:hAnsi="方正楷体_GBK" w:eastAsia="方正楷体_GBK" w:cs="方正楷体_GBK"/>
                <w:sz w:val="16"/>
                <w:szCs w:val="16"/>
                <w:lang w:val="en-US" w:eastAsia="zh-CN"/>
              </w:rPr>
              <w:t>招标监管科</w:t>
            </w:r>
          </w:p>
          <w:p>
            <w:pPr>
              <w:pStyle w:val="16"/>
              <w:bidi w:val="0"/>
              <w:spacing w:line="240" w:lineRule="auto"/>
              <w:jc w:val="center"/>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81178710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6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6</w:t>
            </w:r>
          </w:p>
        </w:tc>
        <w:tc>
          <w:tcPr>
            <w:tcW w:w="1354" w:type="dxa"/>
            <w:tcMar>
              <w:top w:w="57" w:type="dxa"/>
              <w:left w:w="57" w:type="dxa"/>
              <w:bottom w:w="57" w:type="dxa"/>
              <w:right w:w="57" w:type="dxa"/>
            </w:tcMar>
            <w:vAlign w:val="center"/>
          </w:tcPr>
          <w:p>
            <w:pPr>
              <w:pStyle w:val="16"/>
              <w:bidi w:val="0"/>
              <w:spacing w:line="240" w:lineRule="auto"/>
              <w:jc w:val="both"/>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招标人不得串通投标</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招标人串通投标。</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【法律】《中华人民共和国招标投标法》（2017 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投标人不得相互串通投标报价</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不得排挤其他投标人的公平竞争，损害招标人或者其他投标人的合法权益。</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投标人不得与招标人串通投标，损害国家利益、社会公共利益或者他人的合法权益。</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禁止投标人以向招标人或者评标委员会成员行贿的手段谋取中标。</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第五十三条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cs="Times New Roman"/>
                <w:sz w:val="16"/>
                <w:szCs w:val="16"/>
                <w:lang w:val="zh-CN" w:eastAsia="zh-CN"/>
              </w:rPr>
            </w:pPr>
            <w:r>
              <w:rPr>
                <w:rFonts w:hint="default" w:ascii="Times New Roman" w:hAnsi="Times New Roman"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招标人应完善监督和内控机制。</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方正楷体_GBK" w:hAnsi="方正楷体_GBK" w:eastAsia="方正楷体_GBK" w:cs="方正楷体_GBK"/>
                <w:sz w:val="16"/>
                <w:szCs w:val="16"/>
                <w:lang w:val="en-US" w:eastAsia="zh-CN"/>
              </w:rPr>
            </w:pPr>
            <w:r>
              <w:rPr>
                <w:rFonts w:hint="eastAsia" w:ascii="方正楷体_GBK" w:hAnsi="方正楷体_GBK" w:eastAsia="方正楷体_GBK" w:cs="方正楷体_GBK"/>
                <w:sz w:val="16"/>
                <w:szCs w:val="16"/>
                <w:lang w:val="en-US" w:eastAsia="zh-CN"/>
              </w:rPr>
              <w:t>招标监管科</w:t>
            </w:r>
          </w:p>
          <w:p>
            <w:pPr>
              <w:pStyle w:val="16"/>
              <w:bidi w:val="0"/>
              <w:spacing w:line="240" w:lineRule="auto"/>
              <w:jc w:val="center"/>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81178710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7</w:t>
            </w:r>
          </w:p>
        </w:tc>
        <w:tc>
          <w:tcPr>
            <w:tcW w:w="1354" w:type="dxa"/>
            <w:tcMar>
              <w:top w:w="57" w:type="dxa"/>
              <w:left w:w="57" w:type="dxa"/>
              <w:bottom w:w="57" w:type="dxa"/>
              <w:right w:w="57" w:type="dxa"/>
            </w:tcMar>
            <w:vAlign w:val="center"/>
          </w:tcPr>
          <w:p>
            <w:pPr>
              <w:pStyle w:val="16"/>
              <w:bidi w:val="0"/>
              <w:spacing w:line="240" w:lineRule="auto"/>
              <w:jc w:val="both"/>
              <w:rPr>
                <w:rFonts w:hint="default" w:ascii="方正楷体_GBK" w:hAnsi="方正楷体_GBK" w:eastAsia="方正楷体_GBK" w:cs="方正楷体_GBK"/>
                <w:sz w:val="16"/>
                <w:szCs w:val="16"/>
                <w:lang w:val="en-US" w:eastAsia="zh-CN"/>
              </w:rPr>
            </w:pPr>
            <w:r>
              <w:rPr>
                <w:rFonts w:hint="default" w:ascii="方正楷体_GBK" w:hAnsi="方正楷体_GBK" w:eastAsia="方正楷体_GBK" w:cs="方正楷体_GBK"/>
                <w:sz w:val="16"/>
                <w:szCs w:val="16"/>
                <w:lang w:val="en-US" w:eastAsia="zh-CN"/>
              </w:rPr>
              <w:t>建设单位不得将建设工程</w:t>
            </w:r>
            <w:r>
              <w:rPr>
                <w:rFonts w:hint="default" w:ascii="方正楷体_GBK" w:hAnsi="方正楷体_GBK" w:eastAsia="方正楷体_GBK" w:cs="方正楷体_GBK"/>
                <w:sz w:val="16"/>
                <w:szCs w:val="16"/>
                <w:lang w:val="en-US" w:eastAsia="zh-CN"/>
              </w:rPr>
              <w:fldChar w:fldCharType="begin"/>
            </w:r>
            <w:r>
              <w:rPr>
                <w:rFonts w:hint="default" w:ascii="方正楷体_GBK" w:hAnsi="方正楷体_GBK" w:eastAsia="方正楷体_GBK" w:cs="方正楷体_GBK"/>
                <w:sz w:val="16"/>
                <w:szCs w:val="16"/>
                <w:lang w:val="en-US" w:eastAsia="zh-CN"/>
              </w:rPr>
              <w:instrText xml:space="preserve"> HYPERLINK "https://baike.baidu.com/item/%E8%82%A2%E8%A7%A3%E5%8F%91%E5%8C%85" \h </w:instrText>
            </w:r>
            <w:r>
              <w:rPr>
                <w:rFonts w:hint="default" w:ascii="方正楷体_GBK" w:hAnsi="方正楷体_GBK" w:eastAsia="方正楷体_GBK" w:cs="方正楷体_GBK"/>
                <w:sz w:val="16"/>
                <w:szCs w:val="16"/>
                <w:lang w:val="en-US" w:eastAsia="zh-CN"/>
              </w:rPr>
              <w:fldChar w:fldCharType="separate"/>
            </w:r>
            <w:r>
              <w:rPr>
                <w:rFonts w:hint="default" w:ascii="方正楷体_GBK" w:hAnsi="方正楷体_GBK" w:eastAsia="方正楷体_GBK" w:cs="方正楷体_GBK"/>
                <w:sz w:val="16"/>
                <w:szCs w:val="16"/>
                <w:lang w:val="en-US" w:eastAsia="zh-CN"/>
              </w:rPr>
              <w:t>肢解发</w:t>
            </w:r>
            <w:r>
              <w:rPr>
                <w:rFonts w:hint="default" w:ascii="方正楷体_GBK" w:hAnsi="方正楷体_GBK" w:eastAsia="方正楷体_GBK" w:cs="方正楷体_GBK"/>
                <w:sz w:val="16"/>
                <w:szCs w:val="16"/>
                <w:lang w:val="en-US" w:eastAsia="zh-CN"/>
              </w:rPr>
              <w:fldChar w:fldCharType="end"/>
            </w:r>
            <w:r>
              <w:rPr>
                <w:rFonts w:hint="default" w:ascii="方正楷体_GBK" w:hAnsi="方正楷体_GBK" w:eastAsia="方正楷体_GBK" w:cs="方正楷体_GBK"/>
                <w:sz w:val="16"/>
                <w:szCs w:val="16"/>
                <w:lang w:val="en-US" w:eastAsia="zh-CN"/>
              </w:rPr>
              <w:t>包</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建设单位将建设工程</w:t>
            </w:r>
            <w:r>
              <w:rPr>
                <w:rFonts w:hint="eastAsia" w:ascii="方正楷体_GBK" w:hAnsi="方正楷体_GBK" w:eastAsia="方正楷体_GBK" w:cs="方正楷体_GBK"/>
                <w:sz w:val="16"/>
                <w:szCs w:val="16"/>
                <w:lang w:val="en-US" w:eastAsia="zh-CN"/>
              </w:rPr>
              <w:fldChar w:fldCharType="begin"/>
            </w:r>
            <w:r>
              <w:rPr>
                <w:rFonts w:hint="eastAsia" w:ascii="方正楷体_GBK" w:hAnsi="方正楷体_GBK" w:eastAsia="方正楷体_GBK" w:cs="方正楷体_GBK"/>
                <w:sz w:val="16"/>
                <w:szCs w:val="16"/>
                <w:lang w:val="en-US" w:eastAsia="zh-CN"/>
              </w:rPr>
              <w:instrText xml:space="preserve"> HYPERLINK "https://baike.baidu.com/item/%E8%82%A2%E8%A7%A3%E5%8F%91%E5%8C%85" \h </w:instrText>
            </w:r>
            <w:r>
              <w:rPr>
                <w:rFonts w:hint="eastAsia" w:ascii="方正楷体_GBK" w:hAnsi="方正楷体_GBK" w:eastAsia="方正楷体_GBK" w:cs="方正楷体_GBK"/>
                <w:sz w:val="16"/>
                <w:szCs w:val="16"/>
                <w:lang w:val="en-US" w:eastAsia="zh-CN"/>
              </w:rPr>
              <w:fldChar w:fldCharType="separate"/>
            </w:r>
            <w:r>
              <w:rPr>
                <w:rFonts w:hint="eastAsia" w:ascii="方正楷体_GBK" w:hAnsi="方正楷体_GBK" w:eastAsia="方正楷体_GBK" w:cs="方正楷体_GBK"/>
                <w:sz w:val="16"/>
                <w:szCs w:val="16"/>
                <w:lang w:val="en-US" w:eastAsia="zh-CN"/>
              </w:rPr>
              <w:t>肢</w:t>
            </w:r>
            <w:r>
              <w:rPr>
                <w:rFonts w:hint="eastAsia" w:ascii="方正楷体_GBK" w:hAnsi="方正楷体_GBK" w:eastAsia="方正楷体_GBK" w:cs="方正楷体_GBK"/>
                <w:sz w:val="16"/>
                <w:szCs w:val="16"/>
                <w:lang w:val="en-US" w:eastAsia="zh-CN"/>
              </w:rPr>
              <w:fldChar w:fldCharType="end"/>
            </w:r>
            <w:r>
              <w:rPr>
                <w:rFonts w:hint="eastAsia" w:ascii="方正楷体_GBK" w:hAnsi="方正楷体_GBK" w:eastAsia="方正楷体_GBK" w:cs="方正楷体_GBK"/>
                <w:sz w:val="16"/>
                <w:szCs w:val="16"/>
                <w:lang w:val="en-US" w:eastAsia="zh-CN"/>
              </w:rPr>
              <w:t>解发包。</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【行政法规】《建设工程质量管理条例》</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 xml:space="preserve">2019 修订） </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第七条第二款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建设单位不得将建设工程</w:t>
            </w:r>
            <w:r>
              <w:rPr>
                <w:rFonts w:hint="default" w:ascii="Times New Roman" w:hAnsi="Times New Roman" w:eastAsia="方正楷体_GBK" w:cs="Times New Roman"/>
                <w:sz w:val="16"/>
                <w:szCs w:val="16"/>
                <w:lang w:val="en-US" w:eastAsia="zh-CN"/>
              </w:rPr>
              <w:fldChar w:fldCharType="begin"/>
            </w:r>
            <w:r>
              <w:rPr>
                <w:rFonts w:hint="default" w:ascii="Times New Roman" w:hAnsi="Times New Roman" w:eastAsia="方正楷体_GBK" w:cs="Times New Roman"/>
                <w:sz w:val="16"/>
                <w:szCs w:val="16"/>
                <w:lang w:val="en-US" w:eastAsia="zh-CN"/>
              </w:rPr>
              <w:instrText xml:space="preserve"> HYPERLINK "https://baike.baidu.com/item/%E8%82%A2%E8%A7%A3%E5%8F%91%E5%8C%85" \h </w:instrText>
            </w:r>
            <w:r>
              <w:rPr>
                <w:rFonts w:hint="default" w:ascii="Times New Roman" w:hAnsi="Times New Roman" w:eastAsia="方正楷体_GBK" w:cs="Times New Roman"/>
                <w:sz w:val="16"/>
                <w:szCs w:val="16"/>
                <w:lang w:val="en-US" w:eastAsia="zh-CN"/>
              </w:rPr>
              <w:fldChar w:fldCharType="separate"/>
            </w:r>
            <w:r>
              <w:rPr>
                <w:rFonts w:hint="default" w:ascii="Times New Roman" w:hAnsi="Times New Roman" w:eastAsia="方正楷体_GBK" w:cs="Times New Roman"/>
                <w:sz w:val="16"/>
                <w:szCs w:val="16"/>
                <w:lang w:val="en-US" w:eastAsia="zh-CN"/>
              </w:rPr>
              <w:t>肢解发包</w:t>
            </w:r>
            <w:r>
              <w:rPr>
                <w:rFonts w:hint="default" w:ascii="Times New Roman" w:hAnsi="Times New Roman" w:eastAsia="方正楷体_GBK" w:cs="Times New Roman"/>
                <w:sz w:val="16"/>
                <w:szCs w:val="16"/>
                <w:lang w:val="en-US" w:eastAsia="zh-CN"/>
              </w:rPr>
              <w:fldChar w:fldCharType="end"/>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第</w:t>
            </w:r>
            <w:r>
              <w:rPr>
                <w:rFonts w:hint="default" w:ascii="Times New Roman" w:hAnsi="Times New Roman" w:eastAsia="方正楷体_GBK" w:cs="Times New Roman"/>
                <w:sz w:val="16"/>
                <w:szCs w:val="16"/>
                <w:lang w:val="en-US" w:eastAsia="zh-CN"/>
              </w:rPr>
              <w:t>五十五条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违反本条例规定，建设单位将建设工程肢解发包的，责令改正，处工程合同价款0.5%以上1%以下的罚款；对全部或者部分使用国有资金的项目，并可以暂停项目执行或者暂停资金拨付。</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cs="Times New Roman"/>
                <w:sz w:val="16"/>
                <w:szCs w:val="16"/>
                <w:lang w:val="zh-CN" w:eastAsia="zh-CN"/>
              </w:rPr>
            </w:pPr>
            <w:r>
              <w:rPr>
                <w:rFonts w:hint="default" w:ascii="Times New Roman" w:hAnsi="Times New Roman"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建设单位不将建设工程</w:t>
            </w:r>
            <w:r>
              <w:rPr>
                <w:rFonts w:hint="eastAsia" w:ascii="方正楷体_GBK" w:hAnsi="方正楷体_GBK" w:eastAsia="方正楷体_GBK" w:cs="方正楷体_GBK"/>
                <w:sz w:val="16"/>
                <w:szCs w:val="16"/>
                <w:lang w:val="en-US" w:eastAsia="zh-CN"/>
              </w:rPr>
              <w:fldChar w:fldCharType="begin"/>
            </w:r>
            <w:r>
              <w:rPr>
                <w:rFonts w:hint="eastAsia" w:ascii="方正楷体_GBK" w:hAnsi="方正楷体_GBK" w:eastAsia="方正楷体_GBK" w:cs="方正楷体_GBK"/>
                <w:sz w:val="16"/>
                <w:szCs w:val="16"/>
                <w:lang w:val="en-US" w:eastAsia="zh-CN"/>
              </w:rPr>
              <w:instrText xml:space="preserve"> HYPERLINK "https://baike.baidu.com/item/%E8%82%A2%E8%A7%A3%E5%8F%91%E5%8C%85" \h </w:instrText>
            </w:r>
            <w:r>
              <w:rPr>
                <w:rFonts w:hint="eastAsia" w:ascii="方正楷体_GBK" w:hAnsi="方正楷体_GBK" w:eastAsia="方正楷体_GBK" w:cs="方正楷体_GBK"/>
                <w:sz w:val="16"/>
                <w:szCs w:val="16"/>
                <w:lang w:val="en-US" w:eastAsia="zh-CN"/>
              </w:rPr>
              <w:fldChar w:fldCharType="separate"/>
            </w:r>
            <w:r>
              <w:rPr>
                <w:rFonts w:hint="eastAsia" w:ascii="方正楷体_GBK" w:hAnsi="方正楷体_GBK" w:eastAsia="方正楷体_GBK" w:cs="方正楷体_GBK"/>
                <w:sz w:val="16"/>
                <w:szCs w:val="16"/>
                <w:lang w:val="en-US" w:eastAsia="zh-CN"/>
              </w:rPr>
              <w:t>肢解</w:t>
            </w:r>
            <w:r>
              <w:rPr>
                <w:rFonts w:hint="eastAsia" w:ascii="方正楷体_GBK" w:hAnsi="方正楷体_GBK" w:eastAsia="方正楷体_GBK" w:cs="方正楷体_GBK"/>
                <w:sz w:val="16"/>
                <w:szCs w:val="16"/>
                <w:lang w:val="en-US" w:eastAsia="zh-CN"/>
              </w:rPr>
              <w:fldChar w:fldCharType="end"/>
            </w:r>
            <w:r>
              <w:rPr>
                <w:rFonts w:hint="eastAsia" w:ascii="方正楷体_GBK" w:hAnsi="方正楷体_GBK" w:eastAsia="方正楷体_GBK" w:cs="方正楷体_GBK"/>
                <w:sz w:val="16"/>
                <w:szCs w:val="16"/>
                <w:lang w:val="en-US" w:eastAsia="zh-CN"/>
              </w:rPr>
              <w:t>发包。</w:t>
            </w:r>
          </w:p>
        </w:tc>
        <w:tc>
          <w:tcPr>
            <w:tcW w:w="1117" w:type="dxa"/>
            <w:tcMar>
              <w:top w:w="57" w:type="dxa"/>
              <w:left w:w="57" w:type="dxa"/>
              <w:bottom w:w="57" w:type="dxa"/>
              <w:right w:w="57" w:type="dxa"/>
            </w:tcMar>
            <w:vAlign w:val="center"/>
          </w:tcPr>
          <w:p>
            <w:pPr>
              <w:pStyle w:val="16"/>
              <w:bidi w:val="0"/>
              <w:spacing w:line="240" w:lineRule="auto"/>
              <w:jc w:val="center"/>
              <w:rPr>
                <w:rFonts w:hint="eastAsia" w:ascii="方正楷体_GBK" w:hAnsi="方正楷体_GBK" w:eastAsia="方正楷体_GBK" w:cs="方正楷体_GBK"/>
                <w:sz w:val="16"/>
                <w:szCs w:val="16"/>
                <w:lang w:val="en-US" w:eastAsia="zh-CN"/>
              </w:rPr>
            </w:pPr>
            <w:r>
              <w:rPr>
                <w:rFonts w:hint="eastAsia" w:ascii="方正楷体_GBK" w:hAnsi="方正楷体_GBK" w:eastAsia="方正楷体_GBK" w:cs="方正楷体_GBK"/>
                <w:sz w:val="16"/>
                <w:szCs w:val="16"/>
                <w:lang w:val="en-US" w:eastAsia="zh-CN"/>
              </w:rPr>
              <w:t>区建设工程质量安全监督站办公室</w:t>
            </w:r>
          </w:p>
          <w:p>
            <w:pPr>
              <w:pStyle w:val="16"/>
              <w:bidi w:val="0"/>
              <w:spacing w:line="240" w:lineRule="auto"/>
              <w:jc w:val="center"/>
              <w:rPr>
                <w:rFonts w:hint="eastAsia" w:ascii="方正楷体_GBK" w:hAnsi="方正楷体_GBK" w:eastAsia="方正楷体_GBK" w:cs="方正楷体_GBK"/>
                <w:sz w:val="16"/>
                <w:szCs w:val="16"/>
                <w:lang w:val="zh-CN" w:eastAsia="zh-CN"/>
              </w:rPr>
            </w:pPr>
            <w:r>
              <w:rPr>
                <w:rFonts w:hint="eastAsia" w:ascii="方正楷体_GBK" w:hAnsi="方正楷体_GBK" w:eastAsia="方正楷体_GBK" w:cs="方正楷体_GBK"/>
                <w:sz w:val="16"/>
                <w:szCs w:val="16"/>
                <w:lang w:val="en-US" w:eastAsia="zh-CN"/>
              </w:rPr>
              <w:t>85865219</w:t>
            </w:r>
          </w:p>
        </w:tc>
      </w:tr>
    </w:tbl>
    <w:p>
      <w:pPr>
        <w:rPr>
          <w:rFonts w:hint="eastAsia"/>
          <w:lang w:val="en-US" w:eastAsia="zh-CN"/>
        </w:rPr>
      </w:pPr>
      <w:r>
        <w:rPr>
          <w:rFonts w:hint="eastAsia"/>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02" w:hRule="atLeast"/>
        </w:trPr>
        <w:tc>
          <w:tcPr>
            <w:tcW w:w="653" w:type="dxa"/>
            <w:vAlign w:val="center"/>
          </w:tcPr>
          <w:p>
            <w:pPr>
              <w:pStyle w:val="16"/>
              <w:spacing w:before="1"/>
              <w:ind w:left="104" w:leftChars="0" w:right="87" w:rightChars="0"/>
              <w:jc w:val="center"/>
              <w:rPr>
                <w:rFonts w:hint="eastAsia" w:ascii="黑体" w:eastAsia="黑体"/>
                <w:b/>
                <w:sz w:val="20"/>
                <w:lang w:val="en-US" w:eastAsia="zh-CN"/>
              </w:rPr>
            </w:pPr>
            <w:r>
              <w:rPr>
                <w:rFonts w:hint="default" w:ascii="Times New Roman" w:hAnsi="Times New Roman" w:eastAsia="黑体" w:cs="Times New Roman"/>
                <w:b w:val="0"/>
                <w:bCs/>
                <w:sz w:val="16"/>
                <w:szCs w:val="16"/>
                <w:lang w:val="en-US" w:eastAsia="zh-CN"/>
              </w:rPr>
              <w:t>8</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新建住宅物业管理区域内的物业服务用房，建设单位应当按照不低于地上地下总建筑面积千分之四的比例配置；新建用于销售的物业管理区域内物业均为非住宅的，建设单位应当按照地上总建筑面积千分之三的比例配置，最高不超过五百平方米。物业服务用房面积低于一百平方米的按照一百平方米配置</w:t>
            </w:r>
            <w:r>
              <w:rPr>
                <w:rFonts w:hint="eastAsia" w:ascii="Times New Roman" w:hAnsi="Times New Roman" w:eastAsia="方正楷体_GBK" w:cs="Times New Roman"/>
                <w:sz w:val="16"/>
                <w:szCs w:val="16"/>
                <w:lang w:val="en-US" w:eastAsia="zh-CN" w:bidi="zh-CN"/>
              </w:rPr>
              <w:t>；</w:t>
            </w:r>
          </w:p>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bidi="zh-CN"/>
              </w:rPr>
              <w:t>新建用于销售的物业管理区域内物业有住宅和非住宅的，住宅建筑面积占总建筑面积比例高</w:t>
            </w:r>
            <w:r>
              <w:rPr>
                <w:rFonts w:hint="default" w:ascii="Times New Roman" w:hAnsi="Times New Roman" w:eastAsia="方正楷体_GBK" w:cs="Times New Roman"/>
                <w:sz w:val="16"/>
                <w:szCs w:val="16"/>
                <w:highlight w:val="none"/>
                <w:lang w:val="en-US" w:eastAsia="zh-CN" w:bidi="zh-CN"/>
              </w:rPr>
              <w:t>于百分之五</w:t>
            </w:r>
            <w:r>
              <w:rPr>
                <w:rFonts w:hint="default" w:ascii="Times New Roman" w:hAnsi="Times New Roman" w:eastAsia="方正楷体_GBK" w:cs="Times New Roman"/>
                <w:sz w:val="16"/>
                <w:szCs w:val="16"/>
                <w:lang w:val="en-US" w:eastAsia="zh-CN" w:bidi="zh-CN"/>
              </w:rPr>
              <w:t>十的，按照新建住宅的标准配置物业服务用房；住宅建筑面积比例低</w:t>
            </w:r>
            <w:r>
              <w:rPr>
                <w:rFonts w:hint="default" w:ascii="Times New Roman" w:hAnsi="Times New Roman" w:eastAsia="方正楷体_GBK" w:cs="Times New Roman"/>
                <w:sz w:val="16"/>
                <w:szCs w:val="16"/>
                <w:highlight w:val="none"/>
                <w:lang w:val="en-US" w:eastAsia="zh-CN" w:bidi="zh-CN"/>
              </w:rPr>
              <w:t>于百分之五</w:t>
            </w:r>
            <w:r>
              <w:rPr>
                <w:rFonts w:hint="default" w:ascii="Times New Roman" w:hAnsi="Times New Roman" w:eastAsia="方正楷体_GBK" w:cs="Times New Roman"/>
                <w:sz w:val="16"/>
                <w:szCs w:val="16"/>
                <w:lang w:val="en-US" w:eastAsia="zh-CN" w:bidi="zh-CN"/>
              </w:rPr>
              <w:t>十的，按照非住宅物业的标准配置物业服务用房</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bidi="zh-CN"/>
              </w:rPr>
              <w:t>建设单位未按照规定配置物业服务用房</w:t>
            </w:r>
            <w:r>
              <w:rPr>
                <w:rFonts w:hint="eastAsia" w:ascii="Times New Roman" w:hAnsi="Times New Roman" w:eastAsia="方正楷体_GBK" w:cs="Times New Roman"/>
                <w:sz w:val="16"/>
                <w:szCs w:val="16"/>
                <w:lang w:val="en-US" w:eastAsia="zh-CN" w:bidi="zh-CN"/>
              </w:rPr>
              <w:t>。</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lang w:val="en-US" w:eastAsia="zh-CN"/>
              </w:rPr>
            </w:pPr>
            <w:r>
              <w:rPr>
                <w:rFonts w:hint="eastAsia" w:ascii="Times New Roman" w:hAnsi="Times New Roman" w:eastAsia="方正楷体_GBK" w:cs="Times New Roman"/>
                <w:sz w:val="16"/>
                <w:lang w:val="en-US" w:eastAsia="zh-CN"/>
              </w:rPr>
              <w:t>【地方性法规】</w:t>
            </w:r>
            <w:r>
              <w:rPr>
                <w:rFonts w:hint="default" w:ascii="Times New Roman" w:hAnsi="Times New Roman" w:eastAsia="方正楷体_GBK" w:cs="Times New Roman"/>
                <w:sz w:val="16"/>
                <w:lang w:val="en-US" w:eastAsia="zh-CN"/>
              </w:rPr>
              <w:t>《无锡市物业管理条例》</w:t>
            </w:r>
            <w:r>
              <w:rPr>
                <w:rFonts w:hint="eastAsia" w:ascii="Times New Roman" w:hAnsi="Times New Roman" w:eastAsia="方正楷体_GBK" w:cs="Times New Roman"/>
                <w:sz w:val="16"/>
                <w:lang w:val="en-US" w:eastAsia="zh-CN"/>
              </w:rPr>
              <w:t>（2021修正）</w:t>
            </w:r>
          </w:p>
          <w:p>
            <w:pPr>
              <w:pStyle w:val="16"/>
              <w:bidi w:val="0"/>
              <w:spacing w:line="240" w:lineRule="auto"/>
              <w:ind w:firstLine="320" w:firstLineChars="200"/>
              <w:jc w:val="both"/>
              <w:rPr>
                <w:rFonts w:hint="eastAsia" w:ascii="Times New Roman" w:hAnsi="Times New Roman" w:eastAsia="方正楷体_GBK" w:cs="Times New Roman"/>
                <w:sz w:val="16"/>
                <w:lang w:val="en-US" w:eastAsia="zh-CN"/>
              </w:rPr>
            </w:pPr>
            <w:r>
              <w:rPr>
                <w:rFonts w:hint="eastAsia" w:ascii="Times New Roman" w:hAnsi="Times New Roman" w:eastAsia="方正楷体_GBK" w:cs="Times New Roman"/>
                <w:sz w:val="16"/>
                <w:lang w:val="en-US" w:eastAsia="zh-CN"/>
              </w:rPr>
              <w:t>第二十九条第二款  新建住宅物业管理区域内的物业服务用房，建设单位应当按照不低于地上地下总建筑面积千分之四的比例配置；新建用于销售的物业管理区域内物业均为非住宅的，建设单位应当按照地上总建筑面积千分之三的比例配置，最高不超过五百平方米。物业服务用房面积低于一百平方米的按照一百平方米配置。</w:t>
            </w:r>
          </w:p>
          <w:p>
            <w:pPr>
              <w:pStyle w:val="16"/>
              <w:bidi w:val="0"/>
              <w:spacing w:line="240" w:lineRule="auto"/>
              <w:ind w:firstLine="320" w:firstLineChars="200"/>
              <w:jc w:val="both"/>
              <w:rPr>
                <w:rFonts w:hint="default" w:ascii="Times New Roman" w:hAnsi="Times New Roman" w:eastAsia="方正楷体_GBK" w:cs="Times New Roman"/>
                <w:sz w:val="16"/>
                <w:lang w:val="en-US" w:eastAsia="zh-CN"/>
              </w:rPr>
            </w:pPr>
            <w:r>
              <w:rPr>
                <w:rFonts w:hint="eastAsia" w:ascii="Times New Roman" w:hAnsi="Times New Roman" w:eastAsia="方正楷体_GBK" w:cs="Times New Roman"/>
                <w:sz w:val="16"/>
                <w:lang w:val="en-US" w:eastAsia="zh-CN"/>
              </w:rPr>
              <w:t>第二十九条第三款  新建用于销售的物业管理区域内物业有住宅和非住宅的，住宅建筑面积占总建筑面积比例高</w:t>
            </w:r>
            <w:r>
              <w:rPr>
                <w:rFonts w:hint="eastAsia" w:ascii="Times New Roman" w:hAnsi="Times New Roman" w:eastAsia="方正楷体_GBK" w:cs="Times New Roman"/>
                <w:sz w:val="16"/>
                <w:highlight w:val="none"/>
                <w:lang w:val="en-US" w:eastAsia="zh-CN"/>
              </w:rPr>
              <w:t>于百分之五</w:t>
            </w:r>
            <w:r>
              <w:rPr>
                <w:rFonts w:hint="eastAsia" w:ascii="Times New Roman" w:hAnsi="Times New Roman" w:eastAsia="方正楷体_GBK" w:cs="Times New Roman"/>
                <w:sz w:val="16"/>
                <w:lang w:val="en-US" w:eastAsia="zh-CN"/>
              </w:rPr>
              <w:t>十的，按照新建住宅的标准配置物业服务用房；住宅建筑面积比例低</w:t>
            </w:r>
            <w:r>
              <w:rPr>
                <w:rFonts w:hint="eastAsia" w:ascii="Times New Roman" w:hAnsi="Times New Roman" w:eastAsia="方正楷体_GBK" w:cs="Times New Roman"/>
                <w:sz w:val="16"/>
                <w:highlight w:val="none"/>
                <w:lang w:val="en-US" w:eastAsia="zh-CN"/>
              </w:rPr>
              <w:t>于百分之五</w:t>
            </w:r>
            <w:r>
              <w:rPr>
                <w:rFonts w:hint="eastAsia" w:ascii="Times New Roman" w:hAnsi="Times New Roman" w:eastAsia="方正楷体_GBK" w:cs="Times New Roman"/>
                <w:sz w:val="16"/>
                <w:lang w:val="en-US" w:eastAsia="zh-CN"/>
              </w:rPr>
              <w:t>十的，按照非住宅物业的标准配置物业服务用房。</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lang w:val="en-US" w:eastAsia="zh-CN"/>
              </w:rPr>
              <w:t>第六十六条</w:t>
            </w:r>
            <w:r>
              <w:rPr>
                <w:rFonts w:hint="eastAsia" w:ascii="Times New Roman" w:hAnsi="Times New Roman" w:eastAsia="方正楷体_GBK" w:cs="Times New Roman"/>
                <w:sz w:val="16"/>
                <w:lang w:val="en-US" w:eastAsia="zh-CN"/>
              </w:rPr>
              <w:t xml:space="preserve">  </w:t>
            </w:r>
            <w:r>
              <w:rPr>
                <w:rFonts w:hint="default" w:ascii="Times New Roman" w:hAnsi="Times New Roman" w:eastAsia="方正楷体_GBK" w:cs="Times New Roman"/>
                <w:sz w:val="16"/>
                <w:lang w:val="en-US" w:eastAsia="zh-CN"/>
              </w:rPr>
              <w:t>违反本条例第二十九条第二款、第三款规定，建设单位未按照规定配置物业服务用房的，由物业管理行政主管部门责令限期改正，给予警告，没收违法所得，并处以二十万元以上五十万元以下罚款。</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建设单位应当按照规定配置物业服务用房</w:t>
            </w:r>
            <w:r>
              <w:rPr>
                <w:rFonts w:hint="eastAsia" w:ascii="Times New Roman" w:hAnsi="Times New Roman" w:eastAsia="方正楷体_GBK" w:cs="Times New Roman"/>
                <w:sz w:val="16"/>
                <w:szCs w:val="16"/>
                <w:lang w:val="en-US" w:eastAsia="zh-CN"/>
              </w:rPr>
              <w:t>。</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物业管理科</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81178768</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rPr>
          <w:rFonts w:hint="eastAsia"/>
          <w:lang w:val="en-US" w:eastAsia="zh-CN"/>
        </w:rPr>
      </w:pPr>
    </w:p>
    <w:p>
      <w:pPr>
        <w:rPr>
          <w:rFonts w:hint="eastAsia"/>
          <w:lang w:val="en-US" w:eastAsia="zh-CN"/>
        </w:rPr>
      </w:pPr>
      <w:r>
        <w:rPr>
          <w:rFonts w:hint="eastAsia"/>
          <w:lang w:val="en-US" w:eastAsia="zh-CN"/>
        </w:rPr>
        <w:br w:type="page"/>
      </w:r>
    </w:p>
    <w:p>
      <w:pPr>
        <w:keepNext w:val="0"/>
        <w:keepLines w:val="0"/>
        <w:pageBreakBefore w:val="0"/>
        <w:widowControl w:val="0"/>
        <w:kinsoku/>
        <w:wordWrap/>
        <w:overflowPunct/>
        <w:topLinePunct w:val="0"/>
        <w:autoSpaceDE w:val="0"/>
        <w:autoSpaceDN w:val="0"/>
        <w:bidi w:val="0"/>
        <w:adjustRightInd/>
        <w:snapToGrid/>
        <w:spacing w:before="148"/>
        <w:ind w:right="0" w:firstLine="560" w:firstLineChars="200"/>
        <w:jc w:val="left"/>
        <w:textAlignment w:val="auto"/>
        <w:rPr>
          <w:rFonts w:hint="eastAsia" w:ascii="楷体" w:eastAsia="楷体"/>
          <w:sz w:val="28"/>
          <w:lang w:val="en-US" w:eastAsia="zh-CN"/>
        </w:rPr>
      </w:pPr>
      <w:bookmarkStart w:id="15" w:name="_Toc26270"/>
      <w:r>
        <w:rPr>
          <w:rFonts w:hint="eastAsia" w:ascii="楷体" w:eastAsia="楷体"/>
          <w:sz w:val="28"/>
          <w:lang w:val="en-US" w:eastAsia="zh-CN"/>
        </w:rPr>
        <w:t>适用于勘察、设计、施工、监理单位：</w:t>
      </w:r>
      <w:bookmarkEnd w:id="15"/>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4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施工单位在施工中不偷工减料，不使用不合格的建筑材料、建筑构配件和设备；</w:t>
            </w:r>
          </w:p>
          <w:p>
            <w:pPr>
              <w:pStyle w:val="16"/>
              <w:bidi w:val="0"/>
              <w:spacing w:line="240" w:lineRule="auto"/>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施工单位要严格按照工程设计图纸或者施工技术标准施工</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施工单位在施工中偷工减料，使用不合格的建筑材料、建筑构配件和设备，或者有不按照工程设计图纸或者施工技术标准施工的其他行为。</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【行政法规】《建设工程质量管理条例》（2019 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第二十八条第一款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施工单位必须按照工程设计图纸和施工技术标准施工， 不得擅自修改工程设计，不得偷工减料。</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施工单位必须按照工程设计要求、施工技术标准和合同约定， 对建筑材料、建筑构配件、设备和商品混凝土进行检验，检验应当有书面记录和专人签字；未经检验或者检验不合格的</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不得使用。</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第六十四条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cs="Times New Roman"/>
                <w:sz w:val="16"/>
                <w:szCs w:val="16"/>
                <w:lang w:val="zh-CN" w:eastAsia="zh-CN"/>
              </w:rPr>
            </w:pPr>
            <w:r>
              <w:rPr>
                <w:rFonts w:hint="default" w:ascii="Times New Roman" w:hAnsi="Times New Roman"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bidi="zh-CN"/>
              </w:rPr>
            </w:pPr>
            <w:r>
              <w:rPr>
                <w:rFonts w:hint="eastAsia" w:ascii="Times New Roman" w:hAnsi="Times New Roman" w:eastAsia="方正楷体_GBK" w:cs="Times New Roman"/>
                <w:sz w:val="16"/>
                <w:szCs w:val="16"/>
                <w:lang w:val="en-US" w:eastAsia="zh-CN" w:bidi="zh-CN"/>
              </w:rPr>
              <w:t>1.</w:t>
            </w:r>
            <w:r>
              <w:rPr>
                <w:rFonts w:hint="default" w:ascii="Times New Roman" w:hAnsi="Times New Roman" w:eastAsia="方正楷体_GBK" w:cs="Times New Roman"/>
                <w:sz w:val="16"/>
                <w:szCs w:val="16"/>
                <w:lang w:val="en-US" w:eastAsia="zh-CN" w:bidi="zh-CN"/>
              </w:rPr>
              <w:t>施工单位在施工中不偷工减料，不使用不合格的建筑材料、建筑构配件和设备。</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eastAsia" w:ascii="Times New Roman" w:hAnsi="Times New Roman" w:eastAsia="方正楷体_GBK" w:cs="Times New Roman"/>
                <w:sz w:val="16"/>
                <w:szCs w:val="16"/>
                <w:lang w:val="en-US" w:eastAsia="zh-CN" w:bidi="zh-CN"/>
              </w:rPr>
              <w:t>2.</w:t>
            </w:r>
            <w:r>
              <w:rPr>
                <w:rFonts w:hint="default" w:ascii="Times New Roman" w:hAnsi="Times New Roman" w:eastAsia="方正楷体_GBK" w:cs="Times New Roman"/>
                <w:sz w:val="16"/>
                <w:szCs w:val="16"/>
                <w:lang w:val="en-US" w:eastAsia="zh-CN" w:bidi="zh-CN"/>
              </w:rPr>
              <w:t>施工单位要严格按照工程设计图纸或者施工技术标准施工。</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区建设工程质量安全监督站办公室</w:t>
            </w:r>
          </w:p>
          <w:p>
            <w:pPr>
              <w:pStyle w:val="16"/>
              <w:bidi w:val="0"/>
              <w:spacing w:line="240" w:lineRule="auto"/>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85865219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595"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2</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施工单位对建筑材料、建筑构配件、设备和商品混凝土进行检验；</w:t>
            </w:r>
          </w:p>
          <w:p>
            <w:pPr>
              <w:pStyle w:val="16"/>
              <w:bidi w:val="0"/>
              <w:spacing w:line="240" w:lineRule="auto"/>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施工单位对涉及结构安全的试块、试件以及有关材料取样检测</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施工单位未对建筑材料、建筑构配件、设备和商品混凝土进行检验，或者未对涉及结构安全的试块、试件以及有关材料取样检测。</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【行政法规】《建设工程质量管理条例》（2019修订）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第二十九条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施工单位必须按照工程设计要求、施工技术标准和合同约定，对建筑材料、建筑构配件、设备和商品混凝土进行检验，检验应当有书面记录和专人签字；未经检验或者检验不合格的，不得使用。</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第六十五条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cs="Times New Roman"/>
                <w:sz w:val="16"/>
                <w:szCs w:val="16"/>
                <w:lang w:val="zh-CN" w:eastAsia="zh-CN"/>
              </w:rPr>
            </w:pPr>
            <w:r>
              <w:rPr>
                <w:rFonts w:hint="default" w:ascii="Times New Roman" w:hAnsi="Times New Roman"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bidi="zh-CN"/>
              </w:rPr>
            </w:pPr>
            <w:r>
              <w:rPr>
                <w:rFonts w:hint="eastAsia" w:ascii="Times New Roman" w:hAnsi="Times New Roman" w:eastAsia="方正楷体_GBK" w:cs="Times New Roman"/>
                <w:sz w:val="16"/>
                <w:szCs w:val="16"/>
                <w:lang w:val="en-US" w:eastAsia="zh-CN" w:bidi="zh-CN"/>
              </w:rPr>
              <w:t>1.</w:t>
            </w:r>
            <w:r>
              <w:rPr>
                <w:rFonts w:hint="default" w:ascii="Times New Roman" w:hAnsi="Times New Roman" w:eastAsia="方正楷体_GBK" w:cs="Times New Roman"/>
                <w:sz w:val="16"/>
                <w:szCs w:val="16"/>
                <w:lang w:val="en-US" w:eastAsia="zh-CN" w:bidi="zh-CN"/>
              </w:rPr>
              <w:t>施工单位对建筑材料、建筑构配件、设备和商品混凝土进行检验。</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eastAsia" w:ascii="Times New Roman" w:hAnsi="Times New Roman" w:eastAsia="方正楷体_GBK" w:cs="Times New Roman"/>
                <w:sz w:val="16"/>
                <w:szCs w:val="16"/>
                <w:lang w:val="en-US" w:eastAsia="zh-CN" w:bidi="zh-CN"/>
              </w:rPr>
              <w:t>2.</w:t>
            </w:r>
            <w:r>
              <w:rPr>
                <w:rFonts w:hint="default" w:ascii="Times New Roman" w:hAnsi="Times New Roman" w:eastAsia="方正楷体_GBK" w:cs="Times New Roman"/>
                <w:sz w:val="16"/>
                <w:szCs w:val="16"/>
                <w:lang w:val="en-US" w:eastAsia="zh-CN" w:bidi="zh-CN"/>
              </w:rPr>
              <w:t>施工单位对涉及结构安全的试块、试件以及有关材料取样检测。</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区建设工程质量安全监督站办公室</w:t>
            </w:r>
          </w:p>
          <w:p>
            <w:pPr>
              <w:pStyle w:val="16"/>
              <w:bidi w:val="0"/>
              <w:spacing w:line="240" w:lineRule="auto"/>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85865219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27"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3</w:t>
            </w:r>
          </w:p>
        </w:tc>
        <w:tc>
          <w:tcPr>
            <w:tcW w:w="1354"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施工单位配备的项目经理不得擅自变更或者离岗</w:t>
            </w:r>
          </w:p>
        </w:tc>
        <w:tc>
          <w:tcPr>
            <w:tcW w:w="2326"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施工单位配备的项目经理擅自变更或者离岗。</w:t>
            </w:r>
          </w:p>
        </w:tc>
        <w:tc>
          <w:tcPr>
            <w:tcW w:w="5526"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5"/>
                <w:szCs w:val="15"/>
                <w:lang w:val="en-US" w:eastAsia="zh-CN"/>
              </w:rPr>
              <w:t>地方政府规章</w:t>
            </w:r>
            <w:r>
              <w:rPr>
                <w:rFonts w:hint="default" w:ascii="Times New Roman" w:hAnsi="Times New Roman" w:eastAsia="方正楷体_GBK" w:cs="Times New Roman"/>
                <w:sz w:val="16"/>
                <w:szCs w:val="16"/>
                <w:lang w:val="en-US" w:eastAsia="zh-CN"/>
              </w:rPr>
              <w:t>】《江苏省房屋建筑和市政基础设施工程质量监督管理办法》</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第十九条</w:t>
            </w:r>
            <w:r>
              <w:rPr>
                <w:rFonts w:hint="eastAsia" w:ascii="Times New Roman" w:hAnsi="Times New Roman" w:eastAsia="方正楷体_GBK" w:cs="Times New Roman"/>
                <w:sz w:val="16"/>
                <w:szCs w:val="16"/>
                <w:lang w:val="en-US" w:eastAsia="zh-CN"/>
              </w:rPr>
              <w:t xml:space="preserve">第（一）项  </w:t>
            </w:r>
            <w:r>
              <w:rPr>
                <w:rFonts w:hint="default" w:ascii="Times New Roman" w:hAnsi="Times New Roman" w:eastAsia="方正楷体_GBK" w:cs="Times New Roman"/>
                <w:sz w:val="16"/>
                <w:szCs w:val="16"/>
                <w:lang w:val="en-US" w:eastAsia="zh-CN"/>
              </w:rPr>
              <w:t>施工单位应当履行下列工程质量义务：</w:t>
            </w:r>
          </w:p>
          <w:p>
            <w:pPr>
              <w:pStyle w:val="16"/>
              <w:bidi w:val="0"/>
              <w:spacing w:line="240" w:lineRule="auto"/>
              <w:ind w:firstLine="320" w:firstLineChars="200"/>
              <w:jc w:val="both"/>
              <w:rPr>
                <w:rFonts w:hint="eastAsia"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（一）按照规定配备相应的工程项目管理人员、</w:t>
            </w:r>
            <w:r>
              <w:rPr>
                <w:rFonts w:hint="default" w:ascii="Times New Roman" w:hAnsi="Times New Roman" w:eastAsia="方正楷体_GBK" w:cs="Times New Roman"/>
                <w:sz w:val="16"/>
                <w:szCs w:val="16"/>
                <w:highlight w:val="none"/>
                <w:lang w:val="en-US" w:eastAsia="zh-CN"/>
              </w:rPr>
              <w:t>检测仪器</w:t>
            </w:r>
            <w:r>
              <w:rPr>
                <w:rFonts w:hint="default" w:ascii="Times New Roman" w:hAnsi="Times New Roman" w:eastAsia="方正楷体_GBK" w:cs="Times New Roman"/>
                <w:sz w:val="16"/>
                <w:szCs w:val="16"/>
                <w:lang w:val="en-US" w:eastAsia="zh-CN"/>
              </w:rPr>
              <w:t>并规范标准，项目经理不得擅自变更和离岗，现场质量检查员应当由施工单位直接派驻，并对施工单位负责</w:t>
            </w:r>
            <w:r>
              <w:rPr>
                <w:rFonts w:hint="eastAsia" w:ascii="Times New Roman" w:hAnsi="Times New Roman" w:eastAsia="方正楷体_GBK" w:cs="Times New Roman"/>
                <w:sz w:val="16"/>
                <w:szCs w:val="16"/>
                <w:lang w:val="en-US" w:eastAsia="zh-CN"/>
              </w:rPr>
              <w:t>；</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第二十五条第（二）项</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违反本办法第十九条规定，施工单位有下列行为之一的，由住房和城乡建设行政主管部门责令改正，并可处5000元以上3万元以下罚款：</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（二）项目经理擅自变更或者离岗的</w:t>
            </w:r>
            <w:r>
              <w:rPr>
                <w:rFonts w:hint="eastAsia" w:ascii="Times New Roman" w:hAnsi="Times New Roman" w:eastAsia="方正楷体_GBK" w:cs="Times New Roman"/>
                <w:sz w:val="16"/>
                <w:szCs w:val="16"/>
                <w:lang w:val="en-US" w:eastAsia="zh-CN"/>
              </w:rPr>
              <w:t>；</w:t>
            </w:r>
          </w:p>
        </w:tc>
        <w:tc>
          <w:tcPr>
            <w:tcW w:w="750"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cs="Times New Roman"/>
                <w:sz w:val="16"/>
                <w:szCs w:val="16"/>
                <w:lang w:val="zh-CN" w:eastAsia="zh-CN"/>
              </w:rPr>
            </w:pPr>
            <w:r>
              <w:rPr>
                <w:rFonts w:hint="default" w:ascii="Times New Roman" w:hAnsi="Times New Roman" w:cs="Times New Roman"/>
                <w:sz w:val="16"/>
                <w:szCs w:val="16"/>
              </w:rPr>
              <w:t>★★★</w:t>
            </w:r>
          </w:p>
        </w:tc>
        <w:tc>
          <w:tcPr>
            <w:tcW w:w="2631"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施工单位配备的项目经理不得擅自变更或者离岗。</w:t>
            </w:r>
          </w:p>
        </w:tc>
        <w:tc>
          <w:tcPr>
            <w:tcW w:w="1117"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bidi="zh-CN"/>
              </w:rPr>
            </w:pPr>
            <w:r>
              <w:rPr>
                <w:rFonts w:hint="default" w:ascii="Times New Roman" w:hAnsi="Times New Roman" w:eastAsia="方正楷体_GBK" w:cs="Times New Roman"/>
                <w:sz w:val="16"/>
                <w:szCs w:val="16"/>
                <w:lang w:val="en-US" w:eastAsia="zh-CN" w:bidi="zh-CN"/>
              </w:rPr>
              <w:t>区建设工程质量安全监督站办公室</w:t>
            </w:r>
          </w:p>
          <w:p>
            <w:pPr>
              <w:pStyle w:val="16"/>
              <w:bidi w:val="0"/>
              <w:spacing w:line="240" w:lineRule="auto"/>
              <w:jc w:val="center"/>
              <w:rPr>
                <w:rFonts w:hint="default" w:ascii="Times New Roman" w:hAnsi="Times New Roman" w:eastAsia="方正楷体_GBK" w:cs="Times New Roman"/>
                <w:sz w:val="16"/>
                <w:szCs w:val="16"/>
                <w:lang w:val="zh-CN" w:eastAsia="zh-CN" w:bidi="zh-CN"/>
              </w:rPr>
            </w:pPr>
            <w:r>
              <w:rPr>
                <w:rFonts w:hint="default" w:ascii="Times New Roman" w:hAnsi="Times New Roman" w:eastAsia="方正楷体_GBK" w:cs="Times New Roman"/>
                <w:sz w:val="16"/>
                <w:szCs w:val="16"/>
                <w:lang w:val="en-US" w:eastAsia="zh-CN" w:bidi="zh-CN"/>
              </w:rPr>
              <w:t>85865219</w:t>
            </w:r>
          </w:p>
        </w:tc>
      </w:tr>
    </w:tbl>
    <w:p>
      <w:pPr>
        <w:rPr>
          <w:rFonts w:hint="eastAsia"/>
          <w:lang w:val="en-US" w:eastAsia="zh-CN"/>
        </w:rPr>
      </w:pPr>
    </w:p>
    <w:p>
      <w:pPr>
        <w:rPr>
          <w:rFonts w:hint="eastAsia"/>
          <w:lang w:val="en-US" w:eastAsia="zh-CN"/>
        </w:rPr>
      </w:pPr>
      <w:r>
        <w:rPr>
          <w:rFonts w:hint="eastAsia"/>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42"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4</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施工单位按照工程建设强制性标准施工</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施工单位违反工程建设强制性标准。</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【部门规章】《实施工程建设强制性标准监督规定》（2015修正）</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施工单位违反工程建设强制性标准的，责令改正，处工程合同价款2％以上4％以下的罚款；造成建设工程质量不符合规定的质量标准的，负责返工、修理，并赔偿因此造成的损失；情节严重的，责令停业整顿，降低资质等级或者吊销资质证书。</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施工单位按照工程建设强制性标准施工。</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区</w:t>
            </w:r>
            <w:r>
              <w:rPr>
                <w:rFonts w:hint="default" w:ascii="Times New Roman" w:hAnsi="Times New Roman" w:eastAsia="方正楷体_GBK" w:cs="Times New Roman"/>
                <w:sz w:val="16"/>
                <w:szCs w:val="16"/>
                <w:lang w:val="en-US" w:eastAsia="zh-CN"/>
              </w:rPr>
              <w:t>建设工程质量安全监督站办公室</w:t>
            </w:r>
          </w:p>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85865219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70"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5</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施工单位对建筑土方、工程渣土、建筑垃圾及时清运；施工单位采用密闭式防尘网遮盖</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施工单位未对建筑土方、工程渣土、建筑垃圾及时清运， 或者未采用密闭式防尘网遮盖。</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【法律】《中华人民共和国大气污染防治法》（2018修正）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第六十九条第三款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施工单位应当在施工工地设置硬质围挡，并采取覆盖、分段作业、择时施工、洒水抑尘、冲洗地面和车辆等有效防尘降尘措施。建筑土方、工程渣土、建筑垃圾应当及时清运；在场地内堆存的，应当采用密闭式防尘网遮盖。工程渣土、建筑垃圾应当进行资源化处理。</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第一百一十五条</w:t>
            </w:r>
            <w:r>
              <w:rPr>
                <w:rFonts w:hint="eastAsia" w:ascii="Times New Roman" w:hAnsi="Times New Roman" w:eastAsia="方正楷体_GBK" w:cs="Times New Roman"/>
                <w:sz w:val="16"/>
                <w:szCs w:val="16"/>
                <w:lang w:val="en-US" w:eastAsia="zh-CN"/>
              </w:rPr>
              <w:t xml:space="preserve">第一款第（二）项  </w:t>
            </w:r>
            <w:r>
              <w:rPr>
                <w:rFonts w:hint="default" w:ascii="Times New Roman" w:hAnsi="Times New Roman" w:eastAsia="方正楷体_GBK" w:cs="Times New Roman"/>
                <w:sz w:val="16"/>
                <w:szCs w:val="16"/>
                <w:lang w:val="en-US" w:eastAsia="zh-CN"/>
              </w:rPr>
              <w:t>违反本法规定，施工单位有下列行为之一的，由县级以上人民政府住房城乡建设等主管部门按照职责责令改正，处一万元以上十万元以下的罚款；拒不改正的，责令停工整治：</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（二）建筑土方</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工程渣土、建筑垃圾未及时清运，或者未采用密闭式防尘网遮盖的。</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eastAsia"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1.</w:t>
            </w:r>
            <w:r>
              <w:rPr>
                <w:rFonts w:hint="default" w:ascii="Times New Roman" w:hAnsi="Times New Roman" w:eastAsia="方正楷体_GBK" w:cs="Times New Roman"/>
                <w:sz w:val="16"/>
                <w:szCs w:val="16"/>
                <w:lang w:val="en-US" w:eastAsia="zh-CN"/>
              </w:rPr>
              <w:t>施工单位对建筑土方、工程渣土、建筑垃圾及时清运</w:t>
            </w:r>
            <w:r>
              <w:rPr>
                <w:rFonts w:hint="eastAsia" w:ascii="Times New Roman" w:hAnsi="Times New Roman" w:eastAsia="方正楷体_GBK" w:cs="Times New Roman"/>
                <w:sz w:val="16"/>
                <w:szCs w:val="16"/>
                <w:lang w:val="en-US" w:eastAsia="zh-CN"/>
              </w:rPr>
              <w:t>。</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eastAsia" w:ascii="Times New Roman" w:hAnsi="Times New Roman" w:eastAsia="方正楷体_GBK" w:cs="Times New Roman"/>
                <w:sz w:val="16"/>
                <w:szCs w:val="16"/>
                <w:lang w:val="en-US" w:eastAsia="zh-CN"/>
              </w:rPr>
              <w:t>2.</w:t>
            </w:r>
            <w:r>
              <w:rPr>
                <w:rFonts w:hint="default" w:ascii="Times New Roman" w:hAnsi="Times New Roman" w:eastAsia="方正楷体_GBK" w:cs="Times New Roman"/>
                <w:sz w:val="16"/>
                <w:szCs w:val="16"/>
                <w:lang w:val="en-US" w:eastAsia="zh-CN"/>
              </w:rPr>
              <w:t>施工单位采用密闭式防尘网遮盖。</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区建设工程质量安全监督站</w:t>
            </w:r>
          </w:p>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办公室</w:t>
            </w:r>
          </w:p>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85865219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61"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6</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施工单位按照规定采取扬尘污染防治措施</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施工单位未按照规定采取扬尘污染防治措施。</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【法律】《中华人民共和国大气污染防治法》（2018 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第一百一十五条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违反本法规定，施工单位有下列行为之一的，由县级以上人民政府住房城乡建设等主管部门按照职责责令改正，处一万元以上十万元以下的罚款；拒不改正的，责令停工整治：</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（一）施工工地未设置硬质围挡， 或者未采取覆盖、分段作业、择时施工、洒水抑尘、冲洗地面和车辆等有效防尘降尘措施的；</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（二）建筑土方、工程渣土、建筑垃圾未及时清运，或者未采用密闭式防尘网遮盖的。</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施工单位按照规定采取扬尘污染防治措施。</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区建设工程质量安全监督站</w:t>
            </w:r>
          </w:p>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办公室</w:t>
            </w:r>
          </w:p>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85865219</w:t>
            </w:r>
          </w:p>
        </w:tc>
      </w:tr>
    </w:tbl>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46"/>
        <w:gridCol w:w="1341"/>
        <w:gridCol w:w="2304"/>
        <w:gridCol w:w="5612"/>
        <w:gridCol w:w="743"/>
        <w:gridCol w:w="2605"/>
        <w:gridCol w:w="110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46"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41"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04"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612"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43"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05"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06"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46"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7</w:t>
            </w:r>
          </w:p>
        </w:tc>
        <w:tc>
          <w:tcPr>
            <w:tcW w:w="1341"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监理工程师等注册执业人员应当正确履行自己的义务</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确保工程质量无问题</w:t>
            </w:r>
          </w:p>
        </w:tc>
        <w:tc>
          <w:tcPr>
            <w:tcW w:w="2304"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监理工程师等注册执业人员因过错造成质量事故。</w:t>
            </w:r>
          </w:p>
        </w:tc>
        <w:tc>
          <w:tcPr>
            <w:tcW w:w="561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【行政法规】《建设工程质量管理条例》（2019修订）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监理工程师应当按照工程监理规范的要求，采取旁站、巡视和平行检验等形式，对建设工程实施监理。</w:t>
            </w:r>
          </w:p>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第七十二条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规定，注册建筑师、注册结构工程师、监理工程师等注册执业人员因过错造成质量事故的，责令停止执业１年；造成重大质量事故的，吊销执业资格证书，5年以内不予注册；情节特别恶劣的，终身不予注册。</w:t>
            </w:r>
          </w:p>
        </w:tc>
        <w:tc>
          <w:tcPr>
            <w:tcW w:w="743"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05"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注册建筑师、注册结构工程师、监理工程师等注册执业人员应当正确履行自己的义务，确保工程质量无问题。</w:t>
            </w:r>
          </w:p>
        </w:tc>
        <w:tc>
          <w:tcPr>
            <w:tcW w:w="1106"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区建设工程质量安全监督站办公室</w:t>
            </w:r>
          </w:p>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85865219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75" w:hRule="atLeast"/>
        </w:trPr>
        <w:tc>
          <w:tcPr>
            <w:tcW w:w="646"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8</w:t>
            </w:r>
          </w:p>
        </w:tc>
        <w:tc>
          <w:tcPr>
            <w:tcW w:w="1341"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投标人不得以他人名义投标或者以其他方式弄虚作假，骗取中标</w:t>
            </w:r>
          </w:p>
        </w:tc>
        <w:tc>
          <w:tcPr>
            <w:tcW w:w="2304"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投标人以他人名义投标或者以其他方式弄虚作假，骗取中标。</w:t>
            </w:r>
          </w:p>
        </w:tc>
        <w:tc>
          <w:tcPr>
            <w:tcW w:w="5612" w:type="dxa"/>
            <w:tcMar>
              <w:top w:w="57" w:type="dxa"/>
              <w:left w:w="57" w:type="dxa"/>
              <w:bottom w:w="57" w:type="dxa"/>
              <w:right w:w="57" w:type="dxa"/>
            </w:tcMar>
            <w:vAlign w:val="center"/>
          </w:tcPr>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【法律】《中华人民共和国招标投标法》（2017修正）</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第三十三条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投标人不得以低于成本的报价竞标，也不得以他人名义投标或者以其他方式弄虚作假，骗取中标。</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第五十四条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投标人以他人名义投标或者以其他方式弄虚作假，骗取中标的，中标无效，给招标人造成损失的，依法承担赔偿责任；构成犯罪的，依法追究刑事责任。</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依法必须进行招标的项目的投标人有前款所</w:t>
            </w:r>
            <w:r>
              <w:rPr>
                <w:rFonts w:hint="default" w:ascii="Times New Roman" w:hAnsi="Times New Roman" w:eastAsia="方正楷体_GBK" w:cs="Times New Roman"/>
                <w:sz w:val="16"/>
                <w:szCs w:val="16"/>
                <w:highlight w:val="none"/>
                <w:lang w:val="en-US" w:eastAsia="zh-CN"/>
              </w:rPr>
              <w:t>列行为</w:t>
            </w:r>
            <w:r>
              <w:rPr>
                <w:rFonts w:hint="default" w:ascii="Times New Roman" w:hAnsi="Times New Roman" w:eastAsia="方正楷体_GBK" w:cs="Times New Roman"/>
                <w:sz w:val="16"/>
                <w:szCs w:val="16"/>
                <w:lang w:val="en-US" w:eastAsia="zh-CN"/>
              </w:rPr>
              <w:t>尚未构成犯罪的，处中标项目金额千分之五以上千分之十以下的罚款，对单位直接负责的主管人员和其他直接责任人员处单位罚款数额</w:t>
            </w:r>
            <w:r>
              <w:rPr>
                <w:rFonts w:hint="default" w:ascii="Times New Roman" w:hAnsi="Times New Roman" w:eastAsia="方正楷体_GBK" w:cs="Times New Roman"/>
                <w:sz w:val="16"/>
                <w:szCs w:val="16"/>
                <w:highlight w:val="none"/>
                <w:lang w:val="en-US" w:eastAsia="zh-CN"/>
              </w:rPr>
              <w:t>百分之五</w:t>
            </w:r>
            <w:r>
              <w:rPr>
                <w:rFonts w:hint="default" w:ascii="Times New Roman" w:hAnsi="Times New Roman" w:eastAsia="方正楷体_GBK" w:cs="Times New Roman"/>
                <w:sz w:val="16"/>
                <w:szCs w:val="16"/>
                <w:lang w:val="en-US" w:eastAsia="zh-CN"/>
              </w:rPr>
              <w:t>以上</w:t>
            </w:r>
            <w:r>
              <w:rPr>
                <w:rFonts w:hint="default" w:ascii="Times New Roman" w:hAnsi="Times New Roman" w:eastAsia="方正楷体_GBK" w:cs="Times New Roman"/>
                <w:sz w:val="16"/>
                <w:szCs w:val="16"/>
                <w:highlight w:val="none"/>
                <w:lang w:val="en-US" w:eastAsia="zh-CN"/>
              </w:rPr>
              <w:t>百分之十</w:t>
            </w:r>
            <w:r>
              <w:rPr>
                <w:rFonts w:hint="default" w:ascii="Times New Roman" w:hAnsi="Times New Roman" w:eastAsia="方正楷体_GBK" w:cs="Times New Roman"/>
                <w:sz w:val="16"/>
                <w:szCs w:val="16"/>
                <w:lang w:val="en-US" w:eastAsia="zh-CN"/>
              </w:rPr>
              <w:t>以下的罚款；有违法所得的，并处没收违法所得；情节严重的，取消其一年至三年内参加依法必须进行招标的项目的投标资格并予以公告，直至由工商行政管理机关吊销营业执照。</w:t>
            </w:r>
          </w:p>
          <w:p>
            <w:pPr>
              <w:pStyle w:val="16"/>
              <w:bidi w:val="0"/>
              <w:spacing w:line="240" w:lineRule="auto"/>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【行政法规】《中华人民共和国招标投标法实施条例》（2019修订）</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第六十八条第二款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投标人有下列行为之一的，属于招标投标法第五十四条规定的情节严重行为，由有关行政监督部门取消其1年至3年内参加依法必须进行招标的项目的投标资格：</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（一）伪造</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变造资格</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资质证书或者其他许可证件骗取中标；</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（二）3年内2次以上使用他人名义投标；</w:t>
            </w:r>
          </w:p>
          <w:p>
            <w:pPr>
              <w:pStyle w:val="16"/>
              <w:bidi w:val="0"/>
              <w:spacing w:line="240" w:lineRule="auto"/>
              <w:ind w:firstLine="320" w:firstLineChars="200"/>
              <w:jc w:val="both"/>
              <w:rPr>
                <w:rFonts w:hint="default" w:ascii="Times New Roman" w:hAnsi="Times New Roman" w:eastAsia="方正楷体_GBK" w:cs="Times New Roman"/>
                <w:sz w:val="16"/>
                <w:szCs w:val="16"/>
                <w:lang w:val="en-US" w:eastAsia="zh-CN"/>
              </w:rPr>
            </w:pPr>
            <w:r>
              <w:rPr>
                <w:rFonts w:hint="eastAsia" w:ascii="Times New Roman" w:hAnsi="Times New Roman" w:eastAsia="方正楷体_GBK" w:cs="Times New Roman"/>
                <w:sz w:val="16"/>
                <w:szCs w:val="16"/>
                <w:lang w:val="en-US" w:eastAsia="zh-CN"/>
              </w:rPr>
              <w:t>（三）</w:t>
            </w:r>
            <w:r>
              <w:rPr>
                <w:rFonts w:hint="default" w:ascii="Times New Roman" w:hAnsi="Times New Roman" w:eastAsia="方正楷体_GBK" w:cs="Times New Roman"/>
                <w:sz w:val="16"/>
                <w:szCs w:val="16"/>
                <w:lang w:val="en-US" w:eastAsia="zh-CN"/>
              </w:rPr>
              <w:t>弄虚作假骗取中标给招标人造成直接经济损失30万元以上；</w:t>
            </w:r>
          </w:p>
          <w:p>
            <w:pPr>
              <w:pStyle w:val="16"/>
              <w:bidi w:val="0"/>
              <w:spacing w:line="240" w:lineRule="auto"/>
              <w:ind w:firstLine="320" w:firstLineChars="200"/>
              <w:jc w:val="both"/>
              <w:rPr>
                <w:rFonts w:hint="default" w:ascii="Times New Roman" w:hAnsi="Times New Roman" w:eastAsia="方正楷体_GBK" w:cs="Times New Roman"/>
                <w:szCs w:val="16"/>
                <w:lang w:val="zh-CN" w:eastAsia="zh-CN"/>
              </w:rPr>
            </w:pPr>
            <w:r>
              <w:rPr>
                <w:rFonts w:hint="default" w:ascii="Times New Roman" w:hAnsi="Times New Roman" w:eastAsia="方正楷体_GBK" w:cs="Times New Roman"/>
                <w:sz w:val="16"/>
                <w:szCs w:val="16"/>
                <w:lang w:val="en-US" w:eastAsia="zh-CN"/>
              </w:rPr>
              <w:t>（四）其他弄虚作假骗取中标情节严重的行为。</w:t>
            </w:r>
          </w:p>
        </w:tc>
        <w:tc>
          <w:tcPr>
            <w:tcW w:w="743"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05" w:type="dxa"/>
            <w:tcMar>
              <w:top w:w="57" w:type="dxa"/>
              <w:left w:w="57" w:type="dxa"/>
              <w:bottom w:w="57" w:type="dxa"/>
              <w:right w:w="57" w:type="dxa"/>
            </w:tcMar>
            <w:vAlign w:val="center"/>
          </w:tcPr>
          <w:p>
            <w:pPr>
              <w:pStyle w:val="16"/>
              <w:bidi w:val="0"/>
              <w:spacing w:line="240" w:lineRule="auto"/>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投标单位应合法经营</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用质量和服务开拓市场。</w:t>
            </w:r>
          </w:p>
        </w:tc>
        <w:tc>
          <w:tcPr>
            <w:tcW w:w="1106" w:type="dxa"/>
            <w:tcMar>
              <w:top w:w="57" w:type="dxa"/>
              <w:left w:w="57" w:type="dxa"/>
              <w:bottom w:w="57" w:type="dxa"/>
              <w:right w:w="57" w:type="dxa"/>
            </w:tcMar>
            <w:vAlign w:val="center"/>
          </w:tcPr>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招标监管科</w:t>
            </w:r>
          </w:p>
          <w:p>
            <w:pPr>
              <w:pStyle w:val="16"/>
              <w:bidi w:val="0"/>
              <w:spacing w:line="240" w:lineRule="auto"/>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81178710</w:t>
            </w:r>
          </w:p>
        </w:tc>
      </w:tr>
    </w:tbl>
    <w:p>
      <w:pPr>
        <w:rPr>
          <w:rFonts w:hint="eastAsia"/>
          <w:lang w:val="en-US" w:eastAsia="zh-CN"/>
        </w:rPr>
      </w:pPr>
    </w:p>
    <w:p>
      <w:pPr>
        <w:rPr>
          <w:rFonts w:hint="eastAsia"/>
          <w:lang w:val="en-US" w:eastAsia="zh-CN"/>
        </w:rPr>
      </w:pPr>
    </w:p>
    <w:p>
      <w:pPr>
        <w:rPr>
          <w:rFonts w:hint="eastAsia"/>
          <w:lang w:val="en-US" w:eastAsia="zh-CN"/>
        </w:rPr>
      </w:pPr>
      <w:r>
        <w:rPr>
          <w:rFonts w:hint="eastAsia"/>
          <w:lang w:val="en-US" w:eastAsia="zh-CN"/>
        </w:rPr>
        <w:br w:type="page"/>
      </w:r>
    </w:p>
    <w:tbl>
      <w:tblPr>
        <w:tblStyle w:val="10"/>
        <w:tblW w:w="14357" w:type="dxa"/>
        <w:tblInd w:w="13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3"/>
        <w:gridCol w:w="1354"/>
        <w:gridCol w:w="2326"/>
        <w:gridCol w:w="5526"/>
        <w:gridCol w:w="750"/>
        <w:gridCol w:w="2631"/>
        <w:gridCol w:w="1117"/>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99" w:hRule="atLeast"/>
        </w:trPr>
        <w:tc>
          <w:tcPr>
            <w:tcW w:w="653" w:type="dxa"/>
            <w:vAlign w:val="top"/>
          </w:tcPr>
          <w:p>
            <w:pPr>
              <w:pStyle w:val="16"/>
              <w:spacing w:before="4"/>
              <w:rPr>
                <w:rFonts w:ascii="楷体"/>
                <w:sz w:val="14"/>
              </w:rPr>
            </w:pPr>
          </w:p>
          <w:p>
            <w:pPr>
              <w:pStyle w:val="16"/>
              <w:spacing w:before="1"/>
              <w:ind w:left="104" w:leftChars="0" w:right="87" w:rightChars="0"/>
              <w:jc w:val="center"/>
              <w:rPr>
                <w:rFonts w:hint="eastAsia" w:ascii="黑体" w:hAnsi="宋体" w:eastAsia="黑体" w:cs="宋体"/>
                <w:b/>
                <w:sz w:val="20"/>
                <w:szCs w:val="22"/>
                <w:lang w:val="en-US" w:eastAsia="zh-CN" w:bidi="zh-CN"/>
              </w:rPr>
            </w:pPr>
            <w:r>
              <w:rPr>
                <w:rFonts w:hint="eastAsia" w:ascii="黑体" w:eastAsia="黑体"/>
                <w:b/>
                <w:sz w:val="20"/>
              </w:rPr>
              <w:t>序号</w:t>
            </w:r>
          </w:p>
        </w:tc>
        <w:tc>
          <w:tcPr>
            <w:tcW w:w="1354" w:type="dxa"/>
            <w:vAlign w:val="top"/>
          </w:tcPr>
          <w:p>
            <w:pPr>
              <w:pStyle w:val="16"/>
              <w:spacing w:before="4"/>
              <w:rPr>
                <w:rFonts w:ascii="楷体"/>
                <w:sz w:val="14"/>
              </w:rPr>
            </w:pPr>
          </w:p>
          <w:p>
            <w:pPr>
              <w:pStyle w:val="16"/>
              <w:spacing w:before="1"/>
              <w:ind w:left="273" w:leftChars="0" w:right="0" w:rightChars="0"/>
              <w:rPr>
                <w:rFonts w:hint="eastAsia" w:ascii="黑体" w:hAnsi="宋体" w:eastAsia="黑体" w:cs="宋体"/>
                <w:b/>
                <w:sz w:val="20"/>
                <w:szCs w:val="22"/>
                <w:lang w:val="en-US" w:eastAsia="zh-CN" w:bidi="zh-CN"/>
              </w:rPr>
            </w:pPr>
            <w:r>
              <w:rPr>
                <w:rFonts w:hint="eastAsia" w:ascii="黑体" w:eastAsia="黑体"/>
                <w:b/>
                <w:sz w:val="20"/>
              </w:rPr>
              <w:t>合规事项</w:t>
            </w:r>
          </w:p>
        </w:tc>
        <w:tc>
          <w:tcPr>
            <w:tcW w:w="2326" w:type="dxa"/>
            <w:vAlign w:val="top"/>
          </w:tcPr>
          <w:p>
            <w:pPr>
              <w:pStyle w:val="16"/>
              <w:spacing w:before="4"/>
              <w:rPr>
                <w:rFonts w:ascii="楷体"/>
                <w:sz w:val="14"/>
              </w:rPr>
            </w:pPr>
          </w:p>
          <w:p>
            <w:pPr>
              <w:pStyle w:val="16"/>
              <w:spacing w:before="1"/>
              <w:ind w:left="287" w:leftChars="0" w:right="0" w:rightChars="0"/>
              <w:rPr>
                <w:rFonts w:hint="eastAsia" w:ascii="黑体" w:hAnsi="宋体" w:eastAsia="黑体" w:cs="宋体"/>
                <w:b/>
                <w:sz w:val="20"/>
                <w:szCs w:val="22"/>
                <w:lang w:val="en-US" w:eastAsia="zh-CN" w:bidi="zh-CN"/>
              </w:rPr>
            </w:pPr>
            <w:r>
              <w:rPr>
                <w:rFonts w:hint="eastAsia" w:ascii="黑体" w:eastAsia="黑体"/>
                <w:b/>
                <w:sz w:val="20"/>
              </w:rPr>
              <w:t>常见违法行为表现</w:t>
            </w:r>
          </w:p>
        </w:tc>
        <w:tc>
          <w:tcPr>
            <w:tcW w:w="5526" w:type="dxa"/>
            <w:vAlign w:val="top"/>
          </w:tcPr>
          <w:p>
            <w:pPr>
              <w:pStyle w:val="16"/>
              <w:spacing w:before="4"/>
              <w:rPr>
                <w:rFonts w:ascii="楷体"/>
                <w:sz w:val="14"/>
              </w:rPr>
            </w:pPr>
          </w:p>
          <w:p>
            <w:pPr>
              <w:pStyle w:val="16"/>
              <w:bidi w:val="0"/>
              <w:ind w:left="0" w:leftChars="0" w:right="0" w:rightChars="0"/>
              <w:jc w:val="center"/>
              <w:rPr>
                <w:rFonts w:hint="eastAsia" w:ascii="黑体" w:hAnsi="宋体" w:eastAsia="黑体" w:cs="宋体"/>
                <w:b/>
                <w:sz w:val="20"/>
                <w:szCs w:val="22"/>
                <w:lang w:val="en-US" w:eastAsia="zh-CN" w:bidi="zh-CN"/>
              </w:rPr>
            </w:pPr>
            <w:r>
              <w:rPr>
                <w:rFonts w:hint="eastAsia" w:ascii="黑体" w:hAnsi="黑体" w:eastAsia="黑体" w:cs="黑体"/>
                <w:b/>
                <w:bCs/>
              </w:rPr>
              <w:t>法律依据及违法</w:t>
            </w:r>
            <w:r>
              <w:rPr>
                <w:rFonts w:hint="eastAsia" w:ascii="黑体" w:hAnsi="黑体" w:eastAsia="黑体" w:cs="黑体"/>
                <w:b/>
                <w:bCs/>
                <w:lang w:val="en-US" w:eastAsia="zh-CN"/>
              </w:rPr>
              <w:t>责</w:t>
            </w:r>
            <w:r>
              <w:rPr>
                <w:rFonts w:hint="eastAsia" w:ascii="黑体" w:hAnsi="黑体" w:eastAsia="黑体" w:cs="黑体"/>
                <w:b/>
                <w:bCs/>
              </w:rPr>
              <w:t>任</w:t>
            </w:r>
          </w:p>
        </w:tc>
        <w:tc>
          <w:tcPr>
            <w:tcW w:w="750" w:type="dxa"/>
            <w:vAlign w:val="top"/>
          </w:tcPr>
          <w:p>
            <w:pPr>
              <w:pStyle w:val="16"/>
              <w:spacing w:before="28"/>
              <w:ind w:left="172"/>
              <w:rPr>
                <w:rFonts w:hint="eastAsia" w:ascii="黑体" w:eastAsia="黑体"/>
                <w:b/>
                <w:sz w:val="20"/>
              </w:rPr>
            </w:pPr>
            <w:r>
              <w:rPr>
                <w:rFonts w:hint="eastAsia" w:ascii="黑体" w:eastAsia="黑体"/>
                <w:b/>
                <w:w w:val="95"/>
                <w:sz w:val="20"/>
              </w:rPr>
              <w:t>风险</w:t>
            </w:r>
          </w:p>
          <w:p>
            <w:pPr>
              <w:pStyle w:val="16"/>
              <w:spacing w:before="56"/>
              <w:ind w:left="172"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等级</w:t>
            </w:r>
          </w:p>
        </w:tc>
        <w:tc>
          <w:tcPr>
            <w:tcW w:w="2631" w:type="dxa"/>
            <w:vAlign w:val="top"/>
          </w:tcPr>
          <w:p>
            <w:pPr>
              <w:pStyle w:val="16"/>
              <w:spacing w:before="4"/>
              <w:rPr>
                <w:rFonts w:ascii="楷体"/>
                <w:sz w:val="14"/>
              </w:rPr>
            </w:pPr>
          </w:p>
          <w:p>
            <w:pPr>
              <w:pStyle w:val="16"/>
              <w:spacing w:before="1"/>
              <w:ind w:left="892" w:leftChars="0" w:right="875" w:rightChars="0"/>
              <w:jc w:val="center"/>
              <w:rPr>
                <w:rFonts w:hint="eastAsia" w:ascii="黑体" w:hAnsi="宋体" w:eastAsia="黑体" w:cs="宋体"/>
                <w:b/>
                <w:sz w:val="20"/>
                <w:szCs w:val="22"/>
                <w:lang w:val="en-US" w:eastAsia="zh-CN" w:bidi="zh-CN"/>
              </w:rPr>
            </w:pPr>
            <w:r>
              <w:rPr>
                <w:rFonts w:hint="eastAsia" w:ascii="黑体" w:eastAsia="黑体"/>
                <w:b/>
                <w:sz w:val="20"/>
              </w:rPr>
              <w:t>合规建议</w:t>
            </w:r>
          </w:p>
        </w:tc>
        <w:tc>
          <w:tcPr>
            <w:tcW w:w="1117" w:type="dxa"/>
            <w:vAlign w:val="top"/>
          </w:tcPr>
          <w:p>
            <w:pPr>
              <w:pStyle w:val="16"/>
              <w:spacing w:before="28"/>
              <w:ind w:left="156"/>
              <w:rPr>
                <w:rFonts w:hint="eastAsia" w:ascii="黑体" w:eastAsia="黑体"/>
                <w:b/>
                <w:sz w:val="20"/>
              </w:rPr>
            </w:pPr>
            <w:r>
              <w:rPr>
                <w:rFonts w:hint="eastAsia" w:ascii="黑体" w:eastAsia="黑体"/>
                <w:b/>
                <w:w w:val="95"/>
                <w:sz w:val="20"/>
              </w:rPr>
              <w:t>指导部门</w:t>
            </w:r>
          </w:p>
          <w:p>
            <w:pPr>
              <w:pStyle w:val="16"/>
              <w:spacing w:before="56"/>
              <w:ind w:left="156" w:leftChars="0" w:right="0" w:rightChars="0"/>
              <w:rPr>
                <w:rFonts w:hint="eastAsia" w:ascii="黑体" w:hAnsi="宋体" w:eastAsia="黑体" w:cs="宋体"/>
                <w:b/>
                <w:sz w:val="20"/>
                <w:szCs w:val="22"/>
                <w:lang w:val="en-US" w:eastAsia="zh-CN" w:bidi="zh-CN"/>
              </w:rPr>
            </w:pPr>
            <w:r>
              <w:rPr>
                <w:rFonts w:hint="eastAsia" w:ascii="黑体" w:eastAsia="黑体"/>
                <w:b/>
                <w:w w:val="95"/>
                <w:sz w:val="20"/>
              </w:rPr>
              <w:t>科室电话</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8"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9</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施工单位不得将承包的工程转包或者违法分包</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施工单位将承包的工程转包或者违法分包的。</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【法律】《中华人民共和国建筑法》（2019 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第二十八条</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禁止承包单位将其承包的全部建筑工程转包给他人，禁止承包单位将其承包的全部建筑工程肢解以后以分包的名义分别转包给他人。</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第二十九条</w:t>
            </w:r>
            <w:r>
              <w:rPr>
                <w:rFonts w:hint="eastAsia" w:ascii="Times New Roman" w:hAnsi="Times New Roman" w:eastAsia="方正楷体_GBK" w:cs="Times New Roman"/>
                <w:sz w:val="16"/>
                <w:szCs w:val="16"/>
                <w:lang w:val="en-US" w:eastAsia="zh-CN"/>
              </w:rPr>
              <w:t xml:space="preserve">第三款  </w:t>
            </w:r>
            <w:r>
              <w:rPr>
                <w:rFonts w:hint="default" w:ascii="Times New Roman" w:hAnsi="Times New Roman" w:eastAsia="方正楷体_GBK" w:cs="Times New Roman"/>
                <w:sz w:val="16"/>
                <w:szCs w:val="16"/>
                <w:lang w:val="en-US" w:eastAsia="zh-CN"/>
              </w:rPr>
              <w:t>禁止总承包单位将工程分包给不具备相应资质条件的单位。禁止分包单位将其承包的工程再分包。</w:t>
            </w:r>
          </w:p>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【行政法规】《建设工程质量管理条例》（2019 修订）</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第六十二条第</w:t>
            </w:r>
            <w:r>
              <w:rPr>
                <w:rFonts w:hint="eastAsia" w:ascii="Times New Roman" w:hAnsi="Times New Roman" w:eastAsia="方正楷体_GBK" w:cs="Times New Roman"/>
                <w:sz w:val="16"/>
                <w:szCs w:val="16"/>
                <w:lang w:val="en-US" w:eastAsia="zh-CN"/>
              </w:rPr>
              <w:t>一</w:t>
            </w:r>
            <w:r>
              <w:rPr>
                <w:rFonts w:hint="default" w:ascii="Times New Roman" w:hAnsi="Times New Roman" w:eastAsia="方正楷体_GBK" w:cs="Times New Roman"/>
                <w:sz w:val="16"/>
                <w:szCs w:val="16"/>
                <w:lang w:val="en-US" w:eastAsia="zh-CN"/>
              </w:rPr>
              <w:t>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违反本条例规定，承包单位将承包的工程转包或者违法分包的，责令改正，没收违法所得，对勘察、设计单位处合同约定的勘察费、设计费 25%以上 50%以下的罚款；对施工单位处工程合同价款 0.5%以上1%以下的罚款；可以责令停业整顿，降低资质等级；情节严重的，吊销资质证书。</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施工单位不将承包的工程转包或者违法分包。</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区建设工程质量安全监督站办公室</w:t>
            </w:r>
          </w:p>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85865219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89" w:hRule="atLeast"/>
        </w:trPr>
        <w:tc>
          <w:tcPr>
            <w:tcW w:w="653" w:type="dxa"/>
            <w:vAlign w:val="center"/>
          </w:tcPr>
          <w:p>
            <w:pPr>
              <w:pStyle w:val="16"/>
              <w:spacing w:before="1"/>
              <w:ind w:left="104" w:leftChars="0" w:right="87" w:rightChars="0"/>
              <w:jc w:val="center"/>
              <w:rPr>
                <w:rFonts w:hint="default" w:ascii="Times New Roman" w:hAnsi="Times New Roman" w:eastAsia="黑体" w:cs="Times New Roman"/>
                <w:b w:val="0"/>
                <w:bCs/>
                <w:sz w:val="16"/>
                <w:szCs w:val="16"/>
                <w:lang w:val="en-US" w:eastAsia="zh-CN"/>
              </w:rPr>
            </w:pPr>
            <w:r>
              <w:rPr>
                <w:rFonts w:hint="default" w:ascii="Times New Roman" w:hAnsi="Times New Roman" w:eastAsia="黑体" w:cs="Times New Roman"/>
                <w:b w:val="0"/>
                <w:bCs/>
                <w:sz w:val="16"/>
                <w:szCs w:val="16"/>
                <w:lang w:val="en-US" w:eastAsia="zh-CN"/>
              </w:rPr>
              <w:t>10</w:t>
            </w:r>
          </w:p>
        </w:tc>
        <w:tc>
          <w:tcPr>
            <w:tcW w:w="1354"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w:t>
            </w:r>
            <w:r>
              <w:rPr>
                <w:rFonts w:hint="eastAsia" w:ascii="Times New Roman" w:hAnsi="Times New Roman" w:eastAsia="方正楷体_GBK" w:cs="Times New Roman"/>
                <w:sz w:val="16"/>
                <w:szCs w:val="16"/>
                <w:lang w:val="en-US" w:eastAsia="zh-CN"/>
              </w:rPr>
              <w:t>、</w:t>
            </w:r>
            <w:r>
              <w:rPr>
                <w:rFonts w:hint="default" w:ascii="Times New Roman" w:hAnsi="Times New Roman" w:eastAsia="方正楷体_GBK" w:cs="Times New Roman"/>
                <w:sz w:val="16"/>
                <w:szCs w:val="16"/>
                <w:lang w:val="en-US" w:eastAsia="zh-CN"/>
              </w:rPr>
              <w:t>工程监理单位不得超越本单位资质等级承揽工程</w:t>
            </w:r>
          </w:p>
        </w:tc>
        <w:tc>
          <w:tcPr>
            <w:tcW w:w="2326"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施工、工程监理单位超越本单位资质等级承揽工程的。</w:t>
            </w:r>
          </w:p>
        </w:tc>
        <w:tc>
          <w:tcPr>
            <w:tcW w:w="5526" w:type="dxa"/>
            <w:tcMar>
              <w:top w:w="57" w:type="dxa"/>
              <w:left w:w="57" w:type="dxa"/>
              <w:bottom w:w="57" w:type="dxa"/>
              <w:right w:w="57" w:type="dxa"/>
            </w:tcMar>
            <w:vAlign w:val="center"/>
          </w:tcPr>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【法律】《中华人民共和国建筑法》（2019 修正）</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第二十六条 承包建筑工程的单位应当持有依法取得的资质证书，并在其资质等级许可的业务范围内承揽工程。</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禁止建筑施工企业超越本企业资质等级许可的业务范围或者以任何形式用其他建筑施工企业的名义承揽工程。禁止建筑施工企业以任何形式允许其他单位或者个人使用本企业的资质证书、营业执照，以本企业的名义承揽工程。</w:t>
            </w:r>
          </w:p>
          <w:p>
            <w:pPr>
              <w:pStyle w:val="16"/>
              <w:bidi w:val="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【行政法规】《建设工程质量管理条例》（2019 修订）</w:t>
            </w:r>
          </w:p>
          <w:p>
            <w:pPr>
              <w:pStyle w:val="16"/>
              <w:bidi w:val="0"/>
              <w:ind w:firstLine="320" w:firstLineChars="200"/>
              <w:jc w:val="both"/>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第六十条第一款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违反本条例规定，勘察、设计、施工、工程监理单位超越本单位资质等级承揽工程的，责令停止违法行为，对勘察、设计单位或者工程监理单位处合同约定的勘察费、设计费或者监理酬金 1 倍以上 2 倍以下的罚款；对施工单位处工程合同价款</w:t>
            </w:r>
            <w:r>
              <w:rPr>
                <w:rFonts w:hint="default" w:ascii="Times New Roman" w:hAnsi="Times New Roman" w:eastAsia="方正楷体_GBK" w:cs="Times New Roman"/>
                <w:sz w:val="16"/>
                <w:szCs w:val="16"/>
                <w:highlight w:val="none"/>
                <w:lang w:val="en-US" w:eastAsia="zh-CN"/>
              </w:rPr>
              <w:t>百分之二</w:t>
            </w:r>
            <w:r>
              <w:rPr>
                <w:rFonts w:hint="default" w:ascii="Times New Roman" w:hAnsi="Times New Roman" w:eastAsia="方正楷体_GBK" w:cs="Times New Roman"/>
                <w:sz w:val="16"/>
                <w:szCs w:val="16"/>
                <w:lang w:val="en-US" w:eastAsia="zh-CN"/>
              </w:rPr>
              <w:t>以上</w:t>
            </w:r>
            <w:r>
              <w:rPr>
                <w:rFonts w:hint="default" w:ascii="Times New Roman" w:hAnsi="Times New Roman" w:eastAsia="方正楷体_GBK" w:cs="Times New Roman"/>
                <w:sz w:val="16"/>
                <w:szCs w:val="16"/>
                <w:highlight w:val="none"/>
                <w:lang w:val="en-US" w:eastAsia="zh-CN"/>
              </w:rPr>
              <w:t>百分之四</w:t>
            </w:r>
            <w:r>
              <w:rPr>
                <w:rFonts w:hint="default" w:ascii="Times New Roman" w:hAnsi="Times New Roman" w:eastAsia="方正楷体_GBK" w:cs="Times New Roman"/>
                <w:sz w:val="16"/>
                <w:szCs w:val="16"/>
                <w:lang w:val="en-US" w:eastAsia="zh-CN"/>
              </w:rPr>
              <w:t>以下的罚款，可以责令停业整顿，降低资质等级；情节严重的，吊销资质证书；有违法所得的，予以没收。</w:t>
            </w:r>
          </w:p>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第六十条第</w:t>
            </w:r>
            <w:r>
              <w:rPr>
                <w:rFonts w:hint="eastAsia" w:ascii="Times New Roman" w:hAnsi="Times New Roman" w:eastAsia="方正楷体_GBK" w:cs="Times New Roman"/>
                <w:sz w:val="16"/>
                <w:szCs w:val="16"/>
                <w:lang w:val="en-US" w:eastAsia="zh-CN"/>
              </w:rPr>
              <w:t>二</w:t>
            </w:r>
            <w:r>
              <w:rPr>
                <w:rFonts w:hint="default" w:ascii="Times New Roman" w:hAnsi="Times New Roman" w:eastAsia="方正楷体_GBK" w:cs="Times New Roman"/>
                <w:sz w:val="16"/>
                <w:szCs w:val="16"/>
                <w:lang w:val="en-US" w:eastAsia="zh-CN"/>
              </w:rPr>
              <w:t>款</w:t>
            </w:r>
            <w:r>
              <w:rPr>
                <w:rFonts w:hint="eastAsia" w:ascii="Times New Roman" w:hAnsi="Times New Roman" w:eastAsia="方正楷体_GBK" w:cs="Times New Roman"/>
                <w:sz w:val="16"/>
                <w:szCs w:val="16"/>
                <w:lang w:val="en-US" w:eastAsia="zh-CN"/>
              </w:rPr>
              <w:t xml:space="preserve">  </w:t>
            </w:r>
            <w:r>
              <w:rPr>
                <w:rFonts w:hint="default" w:ascii="Times New Roman" w:hAnsi="Times New Roman" w:eastAsia="方正楷体_GBK" w:cs="Times New Roman"/>
                <w:sz w:val="16"/>
                <w:szCs w:val="16"/>
                <w:lang w:val="en-US" w:eastAsia="zh-CN"/>
              </w:rPr>
              <w:t>未取得资质证书承揽工程的，予以取缔，依照前款规定处以罚款；有违法所得的，予以没收。</w:t>
            </w:r>
          </w:p>
        </w:tc>
        <w:tc>
          <w:tcPr>
            <w:tcW w:w="750"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rPr>
              <w:t>★★</w:t>
            </w:r>
          </w:p>
        </w:tc>
        <w:tc>
          <w:tcPr>
            <w:tcW w:w="2631" w:type="dxa"/>
            <w:tcMar>
              <w:top w:w="57" w:type="dxa"/>
              <w:left w:w="57" w:type="dxa"/>
              <w:bottom w:w="57" w:type="dxa"/>
              <w:right w:w="57" w:type="dxa"/>
            </w:tcMar>
            <w:vAlign w:val="center"/>
          </w:tcPr>
          <w:p>
            <w:pPr>
              <w:pStyle w:val="16"/>
              <w:bidi w:val="0"/>
              <w:ind w:firstLine="320" w:firstLineChars="200"/>
              <w:jc w:val="both"/>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施工、工程监理单位不超越本单位资质等级承揽工程。</w:t>
            </w:r>
          </w:p>
        </w:tc>
        <w:tc>
          <w:tcPr>
            <w:tcW w:w="1117" w:type="dxa"/>
            <w:tcMar>
              <w:top w:w="57" w:type="dxa"/>
              <w:left w:w="57" w:type="dxa"/>
              <w:bottom w:w="57" w:type="dxa"/>
              <w:right w:w="57" w:type="dxa"/>
            </w:tcMar>
            <w:vAlign w:val="center"/>
          </w:tcPr>
          <w:p>
            <w:pPr>
              <w:pStyle w:val="16"/>
              <w:bidi w:val="0"/>
              <w:jc w:val="center"/>
              <w:rPr>
                <w:rFonts w:hint="default" w:ascii="Times New Roman" w:hAnsi="Times New Roman" w:eastAsia="方正楷体_GBK" w:cs="Times New Roman"/>
                <w:sz w:val="16"/>
                <w:szCs w:val="16"/>
                <w:lang w:val="en-US" w:eastAsia="zh-CN"/>
              </w:rPr>
            </w:pPr>
            <w:r>
              <w:rPr>
                <w:rFonts w:hint="default" w:ascii="Times New Roman" w:hAnsi="Times New Roman" w:eastAsia="方正楷体_GBK" w:cs="Times New Roman"/>
                <w:sz w:val="16"/>
                <w:szCs w:val="16"/>
                <w:lang w:val="en-US" w:eastAsia="zh-CN"/>
              </w:rPr>
              <w:t>区建设工程质量安全监督站办公室</w:t>
            </w:r>
          </w:p>
          <w:p>
            <w:pPr>
              <w:pStyle w:val="16"/>
              <w:bidi w:val="0"/>
              <w:jc w:val="center"/>
              <w:rPr>
                <w:rFonts w:hint="default" w:ascii="Times New Roman" w:hAnsi="Times New Roman" w:eastAsia="方正楷体_GBK" w:cs="Times New Roman"/>
                <w:sz w:val="16"/>
                <w:szCs w:val="16"/>
                <w:lang w:val="zh-CN" w:eastAsia="zh-CN"/>
              </w:rPr>
            </w:pPr>
            <w:r>
              <w:rPr>
                <w:rFonts w:hint="default" w:ascii="Times New Roman" w:hAnsi="Times New Roman" w:eastAsia="方正楷体_GBK" w:cs="Times New Roman"/>
                <w:sz w:val="16"/>
                <w:szCs w:val="16"/>
                <w:lang w:val="en-US" w:eastAsia="zh-CN"/>
              </w:rPr>
              <w:t>85865219</w:t>
            </w:r>
          </w:p>
        </w:tc>
      </w:tr>
    </w:tbl>
    <w:p>
      <w:pPr>
        <w:pStyle w:val="3"/>
        <w:spacing w:before="73"/>
        <w:ind w:left="441"/>
      </w:pPr>
      <w:r>
        <w:t>备注：</w:t>
      </w:r>
      <w:r>
        <w:rPr>
          <w:rFonts w:ascii="Times New Roman" w:eastAsia="Times New Roman"/>
        </w:rPr>
        <w:t>1.</w:t>
      </w:r>
      <w:r>
        <w:t>本清单并未涵盖所有违法违规行为；合规建议仅为行政指导，不作为企业免责依据。</w:t>
      </w:r>
    </w:p>
    <w:p>
      <w:pPr>
        <w:pStyle w:val="3"/>
        <w:spacing w:before="85"/>
        <w:ind w:left="1041"/>
      </w:pPr>
      <w:r>
        <w:rPr>
          <w:rFonts w:ascii="Times New Roman" w:hAnsi="Times New Roman" w:eastAsia="Times New Roman"/>
        </w:rPr>
        <w:t>2.</w:t>
      </w:r>
      <w:r>
        <w:t>风险等级是指发生频率，发生频率较高的为</w:t>
      </w:r>
      <w:r>
        <w:rPr>
          <w:rFonts w:hint="eastAsia" w:ascii="宋体" w:hAnsi="宋体" w:eastAsia="宋体"/>
        </w:rPr>
        <w:t>★★★</w:t>
      </w:r>
      <w:r>
        <w:t>，发生频率一般的为</w:t>
      </w:r>
      <w:r>
        <w:rPr>
          <w:rFonts w:hint="eastAsia" w:ascii="宋体" w:hAnsi="宋体" w:eastAsia="宋体"/>
        </w:rPr>
        <w:t>★★</w:t>
      </w:r>
      <w:r>
        <w:t>，发生频率较少的为</w:t>
      </w:r>
      <w:r>
        <w:rPr>
          <w:rFonts w:hint="eastAsia" w:ascii="宋体" w:hAnsi="宋体" w:eastAsia="宋体"/>
        </w:rPr>
        <w:t>★</w:t>
      </w:r>
      <w:r>
        <w:t>。</w:t>
      </w:r>
    </w:p>
    <w:p>
      <w:pPr>
        <w:rPr>
          <w:rFonts w:hint="eastAsia"/>
          <w:lang w:val="en-US" w:eastAsia="zh-CN"/>
        </w:rPr>
      </w:pPr>
    </w:p>
    <w:sectPr>
      <w:footerReference r:id="rId4" w:type="default"/>
      <w:pgSz w:w="16840" w:h="11910" w:orient="landscape"/>
      <w:pgMar w:top="1100" w:right="960" w:bottom="280" w:left="1260" w:header="720" w:footer="720"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w:pict>
        <v:shape id="_x0000_s4100" o:spid="_x0000_s4100"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344DA01"/>
    <w:multiLevelType w:val="singleLevel"/>
    <w:tmpl w:val="D344DA01"/>
    <w:lvl w:ilvl="0" w:tentative="0">
      <w:start w:val="1"/>
      <w:numFmt w:val="chineseCounting"/>
      <w:suff w:val="nothing"/>
      <w:lvlText w:val="（%1）"/>
      <w:lvlJc w:val="left"/>
      <w:rPr>
        <w:rFonts w:hint="eastAsia"/>
      </w:rPr>
    </w:lvl>
  </w:abstractNum>
  <w:abstractNum w:abstractNumId="1">
    <w:nsid w:val="218423F3"/>
    <w:multiLevelType w:val="singleLevel"/>
    <w:tmpl w:val="218423F3"/>
    <w:lvl w:ilvl="0" w:tentative="0">
      <w:start w:val="2"/>
      <w:numFmt w:val="chineseCounting"/>
      <w:suff w:val="nothing"/>
      <w:lvlText w:val="（%1）"/>
      <w:lvlJc w:val="left"/>
      <w:rPr>
        <w:rFonts w:hint="eastAsia"/>
      </w:rPr>
    </w:lvl>
  </w:abstractNum>
  <w:abstractNum w:abstractNumId="2">
    <w:nsid w:val="49B61207"/>
    <w:multiLevelType w:val="singleLevel"/>
    <w:tmpl w:val="49B61207"/>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ODBiNDU4NTRmMGRkYzQ3MzM0OGVkNjJiZjVmMjY0MTMifQ=="/>
  </w:docVars>
  <w:rsids>
    <w:rsidRoot w:val="00000000"/>
    <w:rsid w:val="000054A8"/>
    <w:rsid w:val="0004285B"/>
    <w:rsid w:val="003412C7"/>
    <w:rsid w:val="004962A0"/>
    <w:rsid w:val="005643B2"/>
    <w:rsid w:val="0059523D"/>
    <w:rsid w:val="005D05C5"/>
    <w:rsid w:val="00715C29"/>
    <w:rsid w:val="00933A25"/>
    <w:rsid w:val="00A36870"/>
    <w:rsid w:val="00C15A0D"/>
    <w:rsid w:val="00F04A46"/>
    <w:rsid w:val="011D54E1"/>
    <w:rsid w:val="0123757A"/>
    <w:rsid w:val="012D4F13"/>
    <w:rsid w:val="013771BA"/>
    <w:rsid w:val="01424967"/>
    <w:rsid w:val="014947D3"/>
    <w:rsid w:val="014F02D0"/>
    <w:rsid w:val="015B666D"/>
    <w:rsid w:val="016C3764"/>
    <w:rsid w:val="018837C1"/>
    <w:rsid w:val="01AE24E9"/>
    <w:rsid w:val="01DB2335"/>
    <w:rsid w:val="01F80DFD"/>
    <w:rsid w:val="01FE7D43"/>
    <w:rsid w:val="02154FAE"/>
    <w:rsid w:val="02407727"/>
    <w:rsid w:val="02844D1A"/>
    <w:rsid w:val="02A23635"/>
    <w:rsid w:val="02B368A5"/>
    <w:rsid w:val="02B71E20"/>
    <w:rsid w:val="02DB6C0C"/>
    <w:rsid w:val="02EF5A50"/>
    <w:rsid w:val="030040C3"/>
    <w:rsid w:val="03055FFD"/>
    <w:rsid w:val="030726C1"/>
    <w:rsid w:val="03113B47"/>
    <w:rsid w:val="032D338F"/>
    <w:rsid w:val="0349502D"/>
    <w:rsid w:val="037D650F"/>
    <w:rsid w:val="038450CF"/>
    <w:rsid w:val="03885AB1"/>
    <w:rsid w:val="039E701B"/>
    <w:rsid w:val="03A15249"/>
    <w:rsid w:val="03AB5101"/>
    <w:rsid w:val="03AC0281"/>
    <w:rsid w:val="03FC1D62"/>
    <w:rsid w:val="04106977"/>
    <w:rsid w:val="04202F79"/>
    <w:rsid w:val="04210744"/>
    <w:rsid w:val="044E5DE1"/>
    <w:rsid w:val="044F09BA"/>
    <w:rsid w:val="046B17D7"/>
    <w:rsid w:val="04782411"/>
    <w:rsid w:val="048B285C"/>
    <w:rsid w:val="04932D73"/>
    <w:rsid w:val="04B54E49"/>
    <w:rsid w:val="04B64DB4"/>
    <w:rsid w:val="04D270D8"/>
    <w:rsid w:val="04DE5239"/>
    <w:rsid w:val="04F342A6"/>
    <w:rsid w:val="04FC52D5"/>
    <w:rsid w:val="05456698"/>
    <w:rsid w:val="05543908"/>
    <w:rsid w:val="05655882"/>
    <w:rsid w:val="05656380"/>
    <w:rsid w:val="058E6637"/>
    <w:rsid w:val="05913EC4"/>
    <w:rsid w:val="05BD34F3"/>
    <w:rsid w:val="05CC174E"/>
    <w:rsid w:val="05FF2B2B"/>
    <w:rsid w:val="060C7CE8"/>
    <w:rsid w:val="0610333B"/>
    <w:rsid w:val="06475386"/>
    <w:rsid w:val="064D5D2B"/>
    <w:rsid w:val="06562327"/>
    <w:rsid w:val="06743807"/>
    <w:rsid w:val="068D591B"/>
    <w:rsid w:val="06947EF8"/>
    <w:rsid w:val="069B667F"/>
    <w:rsid w:val="06A57AE9"/>
    <w:rsid w:val="06A71828"/>
    <w:rsid w:val="06BF23A8"/>
    <w:rsid w:val="06E16DB1"/>
    <w:rsid w:val="06E75AA8"/>
    <w:rsid w:val="07037D2F"/>
    <w:rsid w:val="07056A51"/>
    <w:rsid w:val="074A2FB7"/>
    <w:rsid w:val="077A130E"/>
    <w:rsid w:val="077D3E61"/>
    <w:rsid w:val="07835B78"/>
    <w:rsid w:val="0799703C"/>
    <w:rsid w:val="07BF2B0E"/>
    <w:rsid w:val="07BF7498"/>
    <w:rsid w:val="07E3336F"/>
    <w:rsid w:val="07FB0D79"/>
    <w:rsid w:val="0822726B"/>
    <w:rsid w:val="082616F4"/>
    <w:rsid w:val="08271425"/>
    <w:rsid w:val="08463252"/>
    <w:rsid w:val="08BC2EDB"/>
    <w:rsid w:val="08BE3276"/>
    <w:rsid w:val="08D678DA"/>
    <w:rsid w:val="09347772"/>
    <w:rsid w:val="09356855"/>
    <w:rsid w:val="093843E9"/>
    <w:rsid w:val="093E13FF"/>
    <w:rsid w:val="0969040C"/>
    <w:rsid w:val="097D24F5"/>
    <w:rsid w:val="098D510F"/>
    <w:rsid w:val="099041F4"/>
    <w:rsid w:val="099E029F"/>
    <w:rsid w:val="09A550BD"/>
    <w:rsid w:val="09AB6742"/>
    <w:rsid w:val="09E97F30"/>
    <w:rsid w:val="09ED68A7"/>
    <w:rsid w:val="09F34C5E"/>
    <w:rsid w:val="09F95A5A"/>
    <w:rsid w:val="0A136976"/>
    <w:rsid w:val="0A222B03"/>
    <w:rsid w:val="0A346EAC"/>
    <w:rsid w:val="0A7C71C0"/>
    <w:rsid w:val="0A880DF7"/>
    <w:rsid w:val="0AB123CE"/>
    <w:rsid w:val="0AC91B19"/>
    <w:rsid w:val="0AE7701F"/>
    <w:rsid w:val="0B2379A8"/>
    <w:rsid w:val="0B30549F"/>
    <w:rsid w:val="0B3D2CFF"/>
    <w:rsid w:val="0B3E49D8"/>
    <w:rsid w:val="0B4D5E86"/>
    <w:rsid w:val="0B834EBF"/>
    <w:rsid w:val="0B947C45"/>
    <w:rsid w:val="0BCC7D8B"/>
    <w:rsid w:val="0BD71080"/>
    <w:rsid w:val="0BDB0B40"/>
    <w:rsid w:val="0BF07775"/>
    <w:rsid w:val="0C1164F6"/>
    <w:rsid w:val="0C2811C9"/>
    <w:rsid w:val="0C3F0E13"/>
    <w:rsid w:val="0C627091"/>
    <w:rsid w:val="0C664B54"/>
    <w:rsid w:val="0C716A87"/>
    <w:rsid w:val="0CAB742D"/>
    <w:rsid w:val="0CEA716C"/>
    <w:rsid w:val="0CEF288C"/>
    <w:rsid w:val="0CFD290D"/>
    <w:rsid w:val="0D1D2F3C"/>
    <w:rsid w:val="0D3A22BC"/>
    <w:rsid w:val="0D4B5917"/>
    <w:rsid w:val="0D510E51"/>
    <w:rsid w:val="0D572616"/>
    <w:rsid w:val="0D5F2621"/>
    <w:rsid w:val="0D6B625D"/>
    <w:rsid w:val="0D8F2DF9"/>
    <w:rsid w:val="0D902AE0"/>
    <w:rsid w:val="0D982CC5"/>
    <w:rsid w:val="0DAE282A"/>
    <w:rsid w:val="0DB242D6"/>
    <w:rsid w:val="0DBC5B68"/>
    <w:rsid w:val="0DC0011B"/>
    <w:rsid w:val="0DCA7721"/>
    <w:rsid w:val="0DD50E2C"/>
    <w:rsid w:val="0DFA05A0"/>
    <w:rsid w:val="0E37529C"/>
    <w:rsid w:val="0E48197D"/>
    <w:rsid w:val="0E5D46A5"/>
    <w:rsid w:val="0E9A51E7"/>
    <w:rsid w:val="0EAC5233"/>
    <w:rsid w:val="0EC07A49"/>
    <w:rsid w:val="0EC73A6C"/>
    <w:rsid w:val="0EDF7392"/>
    <w:rsid w:val="0F255DB5"/>
    <w:rsid w:val="0F416B57"/>
    <w:rsid w:val="0F4A1F5F"/>
    <w:rsid w:val="0F71598A"/>
    <w:rsid w:val="0F803BF1"/>
    <w:rsid w:val="0F8221D6"/>
    <w:rsid w:val="0FB9129D"/>
    <w:rsid w:val="0FC360DA"/>
    <w:rsid w:val="0FD86A51"/>
    <w:rsid w:val="0FDE7B15"/>
    <w:rsid w:val="0FF73033"/>
    <w:rsid w:val="101612CD"/>
    <w:rsid w:val="10556217"/>
    <w:rsid w:val="10636D6D"/>
    <w:rsid w:val="109176BC"/>
    <w:rsid w:val="10995123"/>
    <w:rsid w:val="10A05104"/>
    <w:rsid w:val="10A46E17"/>
    <w:rsid w:val="10AB6F4F"/>
    <w:rsid w:val="10C541A6"/>
    <w:rsid w:val="11100F93"/>
    <w:rsid w:val="1114192D"/>
    <w:rsid w:val="112E2149"/>
    <w:rsid w:val="113413C4"/>
    <w:rsid w:val="113530AF"/>
    <w:rsid w:val="117E47E1"/>
    <w:rsid w:val="11804399"/>
    <w:rsid w:val="118D1A11"/>
    <w:rsid w:val="11B63261"/>
    <w:rsid w:val="11CA56A3"/>
    <w:rsid w:val="11E22E0E"/>
    <w:rsid w:val="124B11DE"/>
    <w:rsid w:val="12636BFC"/>
    <w:rsid w:val="127561B7"/>
    <w:rsid w:val="127C4376"/>
    <w:rsid w:val="129C0F19"/>
    <w:rsid w:val="12F603CE"/>
    <w:rsid w:val="132C3487"/>
    <w:rsid w:val="135523BB"/>
    <w:rsid w:val="137A5763"/>
    <w:rsid w:val="13A06C8C"/>
    <w:rsid w:val="13BB4223"/>
    <w:rsid w:val="13DB58E9"/>
    <w:rsid w:val="13EA64D7"/>
    <w:rsid w:val="13EC3614"/>
    <w:rsid w:val="142C3FA1"/>
    <w:rsid w:val="14476153"/>
    <w:rsid w:val="145B4724"/>
    <w:rsid w:val="146A564D"/>
    <w:rsid w:val="14812060"/>
    <w:rsid w:val="14882B85"/>
    <w:rsid w:val="15132F1D"/>
    <w:rsid w:val="15226617"/>
    <w:rsid w:val="15236531"/>
    <w:rsid w:val="153A40DF"/>
    <w:rsid w:val="153E1B6F"/>
    <w:rsid w:val="1581678F"/>
    <w:rsid w:val="15B954DC"/>
    <w:rsid w:val="15C6177C"/>
    <w:rsid w:val="15CB03EA"/>
    <w:rsid w:val="15D063BC"/>
    <w:rsid w:val="15DB1841"/>
    <w:rsid w:val="15F242DA"/>
    <w:rsid w:val="15F37317"/>
    <w:rsid w:val="163D3203"/>
    <w:rsid w:val="168A69A7"/>
    <w:rsid w:val="16A13C1B"/>
    <w:rsid w:val="16B0103F"/>
    <w:rsid w:val="16BB713C"/>
    <w:rsid w:val="16D12C21"/>
    <w:rsid w:val="16DC1E1D"/>
    <w:rsid w:val="16E71764"/>
    <w:rsid w:val="16F37FD9"/>
    <w:rsid w:val="17013343"/>
    <w:rsid w:val="17046F9B"/>
    <w:rsid w:val="170B6436"/>
    <w:rsid w:val="173D7A92"/>
    <w:rsid w:val="174F0666"/>
    <w:rsid w:val="1755638B"/>
    <w:rsid w:val="175A392F"/>
    <w:rsid w:val="175F4EF7"/>
    <w:rsid w:val="17705354"/>
    <w:rsid w:val="17C86FDA"/>
    <w:rsid w:val="17D833E5"/>
    <w:rsid w:val="17DD7920"/>
    <w:rsid w:val="18004883"/>
    <w:rsid w:val="18133CA8"/>
    <w:rsid w:val="18250CA6"/>
    <w:rsid w:val="183879D9"/>
    <w:rsid w:val="189810A3"/>
    <w:rsid w:val="18992D37"/>
    <w:rsid w:val="18BC6AB1"/>
    <w:rsid w:val="18F07B6B"/>
    <w:rsid w:val="190C72F3"/>
    <w:rsid w:val="1910509A"/>
    <w:rsid w:val="19185578"/>
    <w:rsid w:val="191F41FA"/>
    <w:rsid w:val="19555A27"/>
    <w:rsid w:val="196A370D"/>
    <w:rsid w:val="197E4D91"/>
    <w:rsid w:val="198961E7"/>
    <w:rsid w:val="19C5244E"/>
    <w:rsid w:val="19D17DF3"/>
    <w:rsid w:val="19FE0354"/>
    <w:rsid w:val="1A033578"/>
    <w:rsid w:val="1A312806"/>
    <w:rsid w:val="1A4E7582"/>
    <w:rsid w:val="1A632957"/>
    <w:rsid w:val="1A780576"/>
    <w:rsid w:val="1A787690"/>
    <w:rsid w:val="1A847D29"/>
    <w:rsid w:val="1A8D6303"/>
    <w:rsid w:val="1A8D685A"/>
    <w:rsid w:val="1A944EFA"/>
    <w:rsid w:val="1AA90456"/>
    <w:rsid w:val="1ACF1E36"/>
    <w:rsid w:val="1AEB67E5"/>
    <w:rsid w:val="1AFD0B73"/>
    <w:rsid w:val="1B0D7C8B"/>
    <w:rsid w:val="1B2178B6"/>
    <w:rsid w:val="1B27456C"/>
    <w:rsid w:val="1B2A1B42"/>
    <w:rsid w:val="1B346919"/>
    <w:rsid w:val="1B3C20FF"/>
    <w:rsid w:val="1B687468"/>
    <w:rsid w:val="1B7958B7"/>
    <w:rsid w:val="1B7C40D8"/>
    <w:rsid w:val="1BBF632C"/>
    <w:rsid w:val="1BC646A0"/>
    <w:rsid w:val="1BCA4AF0"/>
    <w:rsid w:val="1C20093F"/>
    <w:rsid w:val="1C2519EE"/>
    <w:rsid w:val="1C340998"/>
    <w:rsid w:val="1C347108"/>
    <w:rsid w:val="1C40196D"/>
    <w:rsid w:val="1C67468C"/>
    <w:rsid w:val="1C7663FB"/>
    <w:rsid w:val="1C8132A2"/>
    <w:rsid w:val="1CB26E77"/>
    <w:rsid w:val="1CC27C2F"/>
    <w:rsid w:val="1CC44C6C"/>
    <w:rsid w:val="1CCB4127"/>
    <w:rsid w:val="1CE00671"/>
    <w:rsid w:val="1CED6FC0"/>
    <w:rsid w:val="1CFB7EB4"/>
    <w:rsid w:val="1CFC63D8"/>
    <w:rsid w:val="1D1D48F3"/>
    <w:rsid w:val="1D4D0192"/>
    <w:rsid w:val="1D8010A6"/>
    <w:rsid w:val="1DA82B66"/>
    <w:rsid w:val="1DB94475"/>
    <w:rsid w:val="1DD6513D"/>
    <w:rsid w:val="1DF108B7"/>
    <w:rsid w:val="1E153A7D"/>
    <w:rsid w:val="1E166740"/>
    <w:rsid w:val="1E373CB3"/>
    <w:rsid w:val="1E4C71DE"/>
    <w:rsid w:val="1E64734F"/>
    <w:rsid w:val="1E77143F"/>
    <w:rsid w:val="1E845B9E"/>
    <w:rsid w:val="1E966277"/>
    <w:rsid w:val="1EAF277C"/>
    <w:rsid w:val="1EB26B54"/>
    <w:rsid w:val="1ED53C91"/>
    <w:rsid w:val="1EE2763B"/>
    <w:rsid w:val="1EF133FE"/>
    <w:rsid w:val="1F265206"/>
    <w:rsid w:val="1F543D3A"/>
    <w:rsid w:val="1F59162B"/>
    <w:rsid w:val="1F5A22F7"/>
    <w:rsid w:val="1F887FCE"/>
    <w:rsid w:val="1F8B37F8"/>
    <w:rsid w:val="1FA24F2B"/>
    <w:rsid w:val="1FAE528A"/>
    <w:rsid w:val="1FF347AF"/>
    <w:rsid w:val="1FFF1986"/>
    <w:rsid w:val="20013E3B"/>
    <w:rsid w:val="20413F81"/>
    <w:rsid w:val="2056772D"/>
    <w:rsid w:val="20683388"/>
    <w:rsid w:val="207263E5"/>
    <w:rsid w:val="20805618"/>
    <w:rsid w:val="2082036E"/>
    <w:rsid w:val="20B60DA8"/>
    <w:rsid w:val="20B906D6"/>
    <w:rsid w:val="20FE3D08"/>
    <w:rsid w:val="21064CB6"/>
    <w:rsid w:val="21244379"/>
    <w:rsid w:val="212F20C3"/>
    <w:rsid w:val="21465620"/>
    <w:rsid w:val="21602554"/>
    <w:rsid w:val="219B0820"/>
    <w:rsid w:val="219B36D0"/>
    <w:rsid w:val="219C7AAB"/>
    <w:rsid w:val="219E0156"/>
    <w:rsid w:val="21BB4C31"/>
    <w:rsid w:val="21D14E86"/>
    <w:rsid w:val="21DD5125"/>
    <w:rsid w:val="221948F9"/>
    <w:rsid w:val="225D2A91"/>
    <w:rsid w:val="226E4C29"/>
    <w:rsid w:val="22C64BC2"/>
    <w:rsid w:val="22C94E25"/>
    <w:rsid w:val="22D831D3"/>
    <w:rsid w:val="22D83479"/>
    <w:rsid w:val="22F1293F"/>
    <w:rsid w:val="23277892"/>
    <w:rsid w:val="232B1B64"/>
    <w:rsid w:val="234D17B6"/>
    <w:rsid w:val="235C735A"/>
    <w:rsid w:val="23613B41"/>
    <w:rsid w:val="237A7E2F"/>
    <w:rsid w:val="23A57E49"/>
    <w:rsid w:val="23B77965"/>
    <w:rsid w:val="23B84F0B"/>
    <w:rsid w:val="23C3728F"/>
    <w:rsid w:val="23CE4746"/>
    <w:rsid w:val="23D72A55"/>
    <w:rsid w:val="24147CDF"/>
    <w:rsid w:val="24166E53"/>
    <w:rsid w:val="24397BF2"/>
    <w:rsid w:val="244B2D4E"/>
    <w:rsid w:val="249C3F1F"/>
    <w:rsid w:val="24A10EE8"/>
    <w:rsid w:val="24C33BC9"/>
    <w:rsid w:val="24E00F90"/>
    <w:rsid w:val="24E34D5F"/>
    <w:rsid w:val="253F1986"/>
    <w:rsid w:val="254A70D8"/>
    <w:rsid w:val="255C015F"/>
    <w:rsid w:val="25910DD8"/>
    <w:rsid w:val="259712E0"/>
    <w:rsid w:val="25A66F28"/>
    <w:rsid w:val="25A74FD4"/>
    <w:rsid w:val="25AC008C"/>
    <w:rsid w:val="25B22145"/>
    <w:rsid w:val="25D2221F"/>
    <w:rsid w:val="25D23270"/>
    <w:rsid w:val="25D31868"/>
    <w:rsid w:val="25D349FE"/>
    <w:rsid w:val="25D94F6F"/>
    <w:rsid w:val="25E42C8B"/>
    <w:rsid w:val="26276DCD"/>
    <w:rsid w:val="2629095F"/>
    <w:rsid w:val="26444EC9"/>
    <w:rsid w:val="264D1AFF"/>
    <w:rsid w:val="26544351"/>
    <w:rsid w:val="26552C5C"/>
    <w:rsid w:val="266B1A40"/>
    <w:rsid w:val="269D1121"/>
    <w:rsid w:val="26AE268C"/>
    <w:rsid w:val="26B17EC7"/>
    <w:rsid w:val="26C02F78"/>
    <w:rsid w:val="27015018"/>
    <w:rsid w:val="27103065"/>
    <w:rsid w:val="2738088C"/>
    <w:rsid w:val="27390C81"/>
    <w:rsid w:val="27464E22"/>
    <w:rsid w:val="27BB5B94"/>
    <w:rsid w:val="27DB4CCF"/>
    <w:rsid w:val="28056170"/>
    <w:rsid w:val="281B5D53"/>
    <w:rsid w:val="28264AE6"/>
    <w:rsid w:val="28421C4A"/>
    <w:rsid w:val="28481754"/>
    <w:rsid w:val="28892394"/>
    <w:rsid w:val="28C92D9C"/>
    <w:rsid w:val="28D42551"/>
    <w:rsid w:val="28D85D38"/>
    <w:rsid w:val="28E20B87"/>
    <w:rsid w:val="28E829FC"/>
    <w:rsid w:val="28F85B09"/>
    <w:rsid w:val="2920478C"/>
    <w:rsid w:val="29293CE0"/>
    <w:rsid w:val="29480372"/>
    <w:rsid w:val="29825006"/>
    <w:rsid w:val="299323EC"/>
    <w:rsid w:val="299815B7"/>
    <w:rsid w:val="299A7ABA"/>
    <w:rsid w:val="29AC5D13"/>
    <w:rsid w:val="29C6332C"/>
    <w:rsid w:val="29D1657E"/>
    <w:rsid w:val="29D85BCD"/>
    <w:rsid w:val="29E76BD4"/>
    <w:rsid w:val="2A0B4C2A"/>
    <w:rsid w:val="2A357F2C"/>
    <w:rsid w:val="2A4A44FD"/>
    <w:rsid w:val="2A6007C0"/>
    <w:rsid w:val="2A8F14E1"/>
    <w:rsid w:val="2AB2539F"/>
    <w:rsid w:val="2AC9770A"/>
    <w:rsid w:val="2AD31BD5"/>
    <w:rsid w:val="2B191F7B"/>
    <w:rsid w:val="2B866546"/>
    <w:rsid w:val="2B8F2A50"/>
    <w:rsid w:val="2BA37B46"/>
    <w:rsid w:val="2BAC3D6E"/>
    <w:rsid w:val="2BCB7DF6"/>
    <w:rsid w:val="2C37548A"/>
    <w:rsid w:val="2C3F2206"/>
    <w:rsid w:val="2C3F2B80"/>
    <w:rsid w:val="2C566C72"/>
    <w:rsid w:val="2C5B1361"/>
    <w:rsid w:val="2C963E21"/>
    <w:rsid w:val="2CC06FA1"/>
    <w:rsid w:val="2CC609D0"/>
    <w:rsid w:val="2CD405C3"/>
    <w:rsid w:val="2CEA27D9"/>
    <w:rsid w:val="2CF053A2"/>
    <w:rsid w:val="2D1356FF"/>
    <w:rsid w:val="2D472E80"/>
    <w:rsid w:val="2D816AF2"/>
    <w:rsid w:val="2DC35871"/>
    <w:rsid w:val="2DEE5028"/>
    <w:rsid w:val="2DF11C92"/>
    <w:rsid w:val="2DF6758B"/>
    <w:rsid w:val="2E092D9E"/>
    <w:rsid w:val="2E1101FF"/>
    <w:rsid w:val="2E281C71"/>
    <w:rsid w:val="2ED36ABF"/>
    <w:rsid w:val="2ED635B3"/>
    <w:rsid w:val="2F195776"/>
    <w:rsid w:val="2F2610B9"/>
    <w:rsid w:val="2F265422"/>
    <w:rsid w:val="2F425316"/>
    <w:rsid w:val="2F505597"/>
    <w:rsid w:val="2F517909"/>
    <w:rsid w:val="2F763E53"/>
    <w:rsid w:val="2F7E356B"/>
    <w:rsid w:val="2F8D74A5"/>
    <w:rsid w:val="2F927C22"/>
    <w:rsid w:val="2FAC41CC"/>
    <w:rsid w:val="2FCE5F01"/>
    <w:rsid w:val="2FDB3EB3"/>
    <w:rsid w:val="303D74D6"/>
    <w:rsid w:val="30485CDA"/>
    <w:rsid w:val="308B2910"/>
    <w:rsid w:val="30965A42"/>
    <w:rsid w:val="30A044FF"/>
    <w:rsid w:val="30C359BE"/>
    <w:rsid w:val="30C81C43"/>
    <w:rsid w:val="30F970CE"/>
    <w:rsid w:val="31211C56"/>
    <w:rsid w:val="316972D7"/>
    <w:rsid w:val="316E4D54"/>
    <w:rsid w:val="31C16580"/>
    <w:rsid w:val="31E43AD7"/>
    <w:rsid w:val="31ED5C49"/>
    <w:rsid w:val="32072370"/>
    <w:rsid w:val="321D0C06"/>
    <w:rsid w:val="323E2E6E"/>
    <w:rsid w:val="3254145A"/>
    <w:rsid w:val="32667EFB"/>
    <w:rsid w:val="32833EA3"/>
    <w:rsid w:val="32A333C3"/>
    <w:rsid w:val="32C7746A"/>
    <w:rsid w:val="32CC3E7C"/>
    <w:rsid w:val="32D12BD1"/>
    <w:rsid w:val="32F30FF2"/>
    <w:rsid w:val="330021D8"/>
    <w:rsid w:val="330D0419"/>
    <w:rsid w:val="331B17DB"/>
    <w:rsid w:val="33251BC3"/>
    <w:rsid w:val="334A3832"/>
    <w:rsid w:val="3356617F"/>
    <w:rsid w:val="335A1641"/>
    <w:rsid w:val="33605D46"/>
    <w:rsid w:val="336547A3"/>
    <w:rsid w:val="339974B0"/>
    <w:rsid w:val="33D3262C"/>
    <w:rsid w:val="3426607F"/>
    <w:rsid w:val="34623941"/>
    <w:rsid w:val="349375E5"/>
    <w:rsid w:val="34DB2F84"/>
    <w:rsid w:val="34DD71BA"/>
    <w:rsid w:val="34E84E3F"/>
    <w:rsid w:val="3501681D"/>
    <w:rsid w:val="3509778F"/>
    <w:rsid w:val="352009F4"/>
    <w:rsid w:val="35343A4E"/>
    <w:rsid w:val="354660C1"/>
    <w:rsid w:val="354C7125"/>
    <w:rsid w:val="355C2141"/>
    <w:rsid w:val="359D708A"/>
    <w:rsid w:val="36576C06"/>
    <w:rsid w:val="36646E34"/>
    <w:rsid w:val="3692329F"/>
    <w:rsid w:val="36965FCA"/>
    <w:rsid w:val="369D19FD"/>
    <w:rsid w:val="36D02CA0"/>
    <w:rsid w:val="36EA2D26"/>
    <w:rsid w:val="37031ACB"/>
    <w:rsid w:val="37105FC7"/>
    <w:rsid w:val="377F6309"/>
    <w:rsid w:val="37BC0F8B"/>
    <w:rsid w:val="37D12FBE"/>
    <w:rsid w:val="37DF2047"/>
    <w:rsid w:val="37F03733"/>
    <w:rsid w:val="382252BC"/>
    <w:rsid w:val="3829789D"/>
    <w:rsid w:val="383E1E35"/>
    <w:rsid w:val="384763C5"/>
    <w:rsid w:val="384849B3"/>
    <w:rsid w:val="385F4BF3"/>
    <w:rsid w:val="388A5134"/>
    <w:rsid w:val="38912E22"/>
    <w:rsid w:val="389811D6"/>
    <w:rsid w:val="38C119E5"/>
    <w:rsid w:val="38E6149D"/>
    <w:rsid w:val="38F1715E"/>
    <w:rsid w:val="38FB5FA1"/>
    <w:rsid w:val="38FD44EE"/>
    <w:rsid w:val="39244A89"/>
    <w:rsid w:val="39457D2E"/>
    <w:rsid w:val="39561761"/>
    <w:rsid w:val="395C1EE4"/>
    <w:rsid w:val="3969168A"/>
    <w:rsid w:val="397612B6"/>
    <w:rsid w:val="397B1AF5"/>
    <w:rsid w:val="397D6AE0"/>
    <w:rsid w:val="39816C38"/>
    <w:rsid w:val="3A075959"/>
    <w:rsid w:val="3A0767AA"/>
    <w:rsid w:val="3A323E2F"/>
    <w:rsid w:val="3A3A0A90"/>
    <w:rsid w:val="3A3B4D12"/>
    <w:rsid w:val="3A4E5B1B"/>
    <w:rsid w:val="3A505CD7"/>
    <w:rsid w:val="3A52600C"/>
    <w:rsid w:val="3A6876F8"/>
    <w:rsid w:val="3A7C32F3"/>
    <w:rsid w:val="3A812715"/>
    <w:rsid w:val="3A884996"/>
    <w:rsid w:val="3A8D413F"/>
    <w:rsid w:val="3AC128B7"/>
    <w:rsid w:val="3AC2393A"/>
    <w:rsid w:val="3AC521B3"/>
    <w:rsid w:val="3AC92C11"/>
    <w:rsid w:val="3ACF4ACC"/>
    <w:rsid w:val="3AE9164B"/>
    <w:rsid w:val="3B034E15"/>
    <w:rsid w:val="3B0756AA"/>
    <w:rsid w:val="3B1279E4"/>
    <w:rsid w:val="3B261ACB"/>
    <w:rsid w:val="3B5F3776"/>
    <w:rsid w:val="3B7C2E94"/>
    <w:rsid w:val="3BA46C8C"/>
    <w:rsid w:val="3BB83A1F"/>
    <w:rsid w:val="3BC22099"/>
    <w:rsid w:val="3C3D1A17"/>
    <w:rsid w:val="3C454AAD"/>
    <w:rsid w:val="3C4C6CAD"/>
    <w:rsid w:val="3C4E0AD5"/>
    <w:rsid w:val="3C660214"/>
    <w:rsid w:val="3C8A6B5B"/>
    <w:rsid w:val="3C8D365B"/>
    <w:rsid w:val="3CAD2904"/>
    <w:rsid w:val="3CBF208A"/>
    <w:rsid w:val="3CC94C2E"/>
    <w:rsid w:val="3CEF6F14"/>
    <w:rsid w:val="3CF122C3"/>
    <w:rsid w:val="3CF2379B"/>
    <w:rsid w:val="3D163BE2"/>
    <w:rsid w:val="3D38207A"/>
    <w:rsid w:val="3D4525CC"/>
    <w:rsid w:val="3D760C50"/>
    <w:rsid w:val="3D7E0993"/>
    <w:rsid w:val="3D7F3991"/>
    <w:rsid w:val="3DB15441"/>
    <w:rsid w:val="3DE93397"/>
    <w:rsid w:val="3DED26BB"/>
    <w:rsid w:val="3DFD3B84"/>
    <w:rsid w:val="3E156C47"/>
    <w:rsid w:val="3E22230B"/>
    <w:rsid w:val="3E4C7852"/>
    <w:rsid w:val="3E573D25"/>
    <w:rsid w:val="3E796BCE"/>
    <w:rsid w:val="3E7A39D9"/>
    <w:rsid w:val="3E8E069E"/>
    <w:rsid w:val="3E982BFE"/>
    <w:rsid w:val="3EA048C4"/>
    <w:rsid w:val="3EAC77F3"/>
    <w:rsid w:val="3EC14035"/>
    <w:rsid w:val="3EE73364"/>
    <w:rsid w:val="3F071302"/>
    <w:rsid w:val="3F203170"/>
    <w:rsid w:val="3F69193A"/>
    <w:rsid w:val="3F85626F"/>
    <w:rsid w:val="3FA31265"/>
    <w:rsid w:val="3FBC44D2"/>
    <w:rsid w:val="3FE02642"/>
    <w:rsid w:val="3FFE39DB"/>
    <w:rsid w:val="400F155B"/>
    <w:rsid w:val="401127EF"/>
    <w:rsid w:val="40232F58"/>
    <w:rsid w:val="402D0587"/>
    <w:rsid w:val="402F07ED"/>
    <w:rsid w:val="403C1D5E"/>
    <w:rsid w:val="40403FE4"/>
    <w:rsid w:val="40721C63"/>
    <w:rsid w:val="40811D94"/>
    <w:rsid w:val="40BF010B"/>
    <w:rsid w:val="40D3635D"/>
    <w:rsid w:val="40D37B7F"/>
    <w:rsid w:val="40F96988"/>
    <w:rsid w:val="411B63C7"/>
    <w:rsid w:val="41300A63"/>
    <w:rsid w:val="4136332B"/>
    <w:rsid w:val="413D7CB7"/>
    <w:rsid w:val="413E30A0"/>
    <w:rsid w:val="414E4E7B"/>
    <w:rsid w:val="415D616D"/>
    <w:rsid w:val="416A48E7"/>
    <w:rsid w:val="418A1707"/>
    <w:rsid w:val="418C061D"/>
    <w:rsid w:val="41906D82"/>
    <w:rsid w:val="419E4171"/>
    <w:rsid w:val="41E8115B"/>
    <w:rsid w:val="42153302"/>
    <w:rsid w:val="42221967"/>
    <w:rsid w:val="422A3CCE"/>
    <w:rsid w:val="42531722"/>
    <w:rsid w:val="427A762A"/>
    <w:rsid w:val="4286154C"/>
    <w:rsid w:val="42922747"/>
    <w:rsid w:val="42A92BE9"/>
    <w:rsid w:val="42ED5FB6"/>
    <w:rsid w:val="42FA1B4A"/>
    <w:rsid w:val="4321072A"/>
    <w:rsid w:val="432D2135"/>
    <w:rsid w:val="43593DD8"/>
    <w:rsid w:val="43614929"/>
    <w:rsid w:val="4377053F"/>
    <w:rsid w:val="437D67D3"/>
    <w:rsid w:val="43B47BF1"/>
    <w:rsid w:val="43CC1334"/>
    <w:rsid w:val="43D346CA"/>
    <w:rsid w:val="43E22FDB"/>
    <w:rsid w:val="43EA7C01"/>
    <w:rsid w:val="440D1AEB"/>
    <w:rsid w:val="441F1E5A"/>
    <w:rsid w:val="44523B5E"/>
    <w:rsid w:val="44715BD5"/>
    <w:rsid w:val="44962026"/>
    <w:rsid w:val="44AC7F43"/>
    <w:rsid w:val="44AD11BD"/>
    <w:rsid w:val="44FA521A"/>
    <w:rsid w:val="45064064"/>
    <w:rsid w:val="452A7AED"/>
    <w:rsid w:val="453150BE"/>
    <w:rsid w:val="456B1F3A"/>
    <w:rsid w:val="45C22BAF"/>
    <w:rsid w:val="45C87A47"/>
    <w:rsid w:val="46216957"/>
    <w:rsid w:val="465032D6"/>
    <w:rsid w:val="465517F7"/>
    <w:rsid w:val="465D2C0A"/>
    <w:rsid w:val="46710FBC"/>
    <w:rsid w:val="468812DF"/>
    <w:rsid w:val="468E6F11"/>
    <w:rsid w:val="469F038E"/>
    <w:rsid w:val="46D6281A"/>
    <w:rsid w:val="472E16FB"/>
    <w:rsid w:val="4764660F"/>
    <w:rsid w:val="47AC133B"/>
    <w:rsid w:val="47BA5C07"/>
    <w:rsid w:val="47E91A66"/>
    <w:rsid w:val="47FC119B"/>
    <w:rsid w:val="480A553D"/>
    <w:rsid w:val="480C2915"/>
    <w:rsid w:val="4838793A"/>
    <w:rsid w:val="48595593"/>
    <w:rsid w:val="485F6BDD"/>
    <w:rsid w:val="486561CA"/>
    <w:rsid w:val="48941AF1"/>
    <w:rsid w:val="48BF1A91"/>
    <w:rsid w:val="48CA19E8"/>
    <w:rsid w:val="48CF0957"/>
    <w:rsid w:val="48F2167E"/>
    <w:rsid w:val="48F536FC"/>
    <w:rsid w:val="49390E91"/>
    <w:rsid w:val="493E1821"/>
    <w:rsid w:val="49460C27"/>
    <w:rsid w:val="49785096"/>
    <w:rsid w:val="49922832"/>
    <w:rsid w:val="49B13424"/>
    <w:rsid w:val="49E21866"/>
    <w:rsid w:val="49FA28C6"/>
    <w:rsid w:val="4A2B3899"/>
    <w:rsid w:val="4A690FA5"/>
    <w:rsid w:val="4AAC232A"/>
    <w:rsid w:val="4AB627F5"/>
    <w:rsid w:val="4AC60A79"/>
    <w:rsid w:val="4AC6419D"/>
    <w:rsid w:val="4AC84628"/>
    <w:rsid w:val="4ACB60D2"/>
    <w:rsid w:val="4ACD1DFC"/>
    <w:rsid w:val="4ACE73DD"/>
    <w:rsid w:val="4B1823BE"/>
    <w:rsid w:val="4B690C8C"/>
    <w:rsid w:val="4B9A323B"/>
    <w:rsid w:val="4BA20DE1"/>
    <w:rsid w:val="4BA31618"/>
    <w:rsid w:val="4BC172AC"/>
    <w:rsid w:val="4BC85BB7"/>
    <w:rsid w:val="4BD209D3"/>
    <w:rsid w:val="4BE15467"/>
    <w:rsid w:val="4BE33AA5"/>
    <w:rsid w:val="4BE8666D"/>
    <w:rsid w:val="4BE94FEA"/>
    <w:rsid w:val="4BF14AB9"/>
    <w:rsid w:val="4C1F142B"/>
    <w:rsid w:val="4C375133"/>
    <w:rsid w:val="4C4B72A3"/>
    <w:rsid w:val="4C6746A1"/>
    <w:rsid w:val="4C82428A"/>
    <w:rsid w:val="4CB034A0"/>
    <w:rsid w:val="4CBF68A2"/>
    <w:rsid w:val="4D017B0D"/>
    <w:rsid w:val="4D213E4A"/>
    <w:rsid w:val="4D516DD6"/>
    <w:rsid w:val="4D90452C"/>
    <w:rsid w:val="4D95088D"/>
    <w:rsid w:val="4DAB5475"/>
    <w:rsid w:val="4DAF223B"/>
    <w:rsid w:val="4DC337FD"/>
    <w:rsid w:val="4DE55BFA"/>
    <w:rsid w:val="4E0B5195"/>
    <w:rsid w:val="4E0F4BA1"/>
    <w:rsid w:val="4E100A6B"/>
    <w:rsid w:val="4E250A04"/>
    <w:rsid w:val="4E296023"/>
    <w:rsid w:val="4E427C9F"/>
    <w:rsid w:val="4E6F38DD"/>
    <w:rsid w:val="4E7D1895"/>
    <w:rsid w:val="4E810858"/>
    <w:rsid w:val="4EAD00AC"/>
    <w:rsid w:val="4EBD7334"/>
    <w:rsid w:val="4ECE764B"/>
    <w:rsid w:val="4ED80D60"/>
    <w:rsid w:val="4EE54FC2"/>
    <w:rsid w:val="4EEA272D"/>
    <w:rsid w:val="4F06762C"/>
    <w:rsid w:val="4F21615A"/>
    <w:rsid w:val="4F3352F3"/>
    <w:rsid w:val="4F6B5F47"/>
    <w:rsid w:val="4F712E8B"/>
    <w:rsid w:val="4F80451A"/>
    <w:rsid w:val="4F9A10FD"/>
    <w:rsid w:val="4FA05F42"/>
    <w:rsid w:val="4FC813C3"/>
    <w:rsid w:val="4FEC2500"/>
    <w:rsid w:val="4FEE46BE"/>
    <w:rsid w:val="501A3AAA"/>
    <w:rsid w:val="501B1F1C"/>
    <w:rsid w:val="50225B36"/>
    <w:rsid w:val="504259D6"/>
    <w:rsid w:val="5055712C"/>
    <w:rsid w:val="50610BE6"/>
    <w:rsid w:val="50694DAD"/>
    <w:rsid w:val="507C5040"/>
    <w:rsid w:val="50910816"/>
    <w:rsid w:val="50987802"/>
    <w:rsid w:val="50B57CFA"/>
    <w:rsid w:val="50DB61B0"/>
    <w:rsid w:val="50E94FBB"/>
    <w:rsid w:val="512A2F52"/>
    <w:rsid w:val="51387EAF"/>
    <w:rsid w:val="51624611"/>
    <w:rsid w:val="51C6001D"/>
    <w:rsid w:val="52216E4A"/>
    <w:rsid w:val="5241715B"/>
    <w:rsid w:val="52426C1C"/>
    <w:rsid w:val="52641E94"/>
    <w:rsid w:val="52886F1E"/>
    <w:rsid w:val="52C47501"/>
    <w:rsid w:val="52DD4A04"/>
    <w:rsid w:val="52E17802"/>
    <w:rsid w:val="52EA7F42"/>
    <w:rsid w:val="52FE4E03"/>
    <w:rsid w:val="53073A0D"/>
    <w:rsid w:val="53680443"/>
    <w:rsid w:val="536E2A68"/>
    <w:rsid w:val="53C45E90"/>
    <w:rsid w:val="53CE22E9"/>
    <w:rsid w:val="540E09E5"/>
    <w:rsid w:val="54100C8C"/>
    <w:rsid w:val="541E4EDB"/>
    <w:rsid w:val="542B5DB2"/>
    <w:rsid w:val="54835F30"/>
    <w:rsid w:val="548F478C"/>
    <w:rsid w:val="54914A4A"/>
    <w:rsid w:val="549B6D72"/>
    <w:rsid w:val="54C67209"/>
    <w:rsid w:val="54DF6977"/>
    <w:rsid w:val="54FC1DC6"/>
    <w:rsid w:val="55174229"/>
    <w:rsid w:val="551C3B49"/>
    <w:rsid w:val="551F0336"/>
    <w:rsid w:val="5525539D"/>
    <w:rsid w:val="552B0763"/>
    <w:rsid w:val="5536306F"/>
    <w:rsid w:val="553B26D5"/>
    <w:rsid w:val="555921E8"/>
    <w:rsid w:val="555D6847"/>
    <w:rsid w:val="558B1936"/>
    <w:rsid w:val="55992280"/>
    <w:rsid w:val="55AA61E3"/>
    <w:rsid w:val="55D55E97"/>
    <w:rsid w:val="55E313A3"/>
    <w:rsid w:val="5600031A"/>
    <w:rsid w:val="561C1B40"/>
    <w:rsid w:val="564C31CB"/>
    <w:rsid w:val="56607AAE"/>
    <w:rsid w:val="56747A8C"/>
    <w:rsid w:val="568D54ED"/>
    <w:rsid w:val="56AD2C43"/>
    <w:rsid w:val="56DC5190"/>
    <w:rsid w:val="56FD0AFE"/>
    <w:rsid w:val="57024551"/>
    <w:rsid w:val="57213D90"/>
    <w:rsid w:val="572260F0"/>
    <w:rsid w:val="574C696E"/>
    <w:rsid w:val="575130ED"/>
    <w:rsid w:val="57CA1012"/>
    <w:rsid w:val="57D23B14"/>
    <w:rsid w:val="57FA10C8"/>
    <w:rsid w:val="57FA29E3"/>
    <w:rsid w:val="58163B00"/>
    <w:rsid w:val="58186787"/>
    <w:rsid w:val="581F488A"/>
    <w:rsid w:val="58435D20"/>
    <w:rsid w:val="584E6204"/>
    <w:rsid w:val="585D7546"/>
    <w:rsid w:val="58716976"/>
    <w:rsid w:val="58A35A79"/>
    <w:rsid w:val="58BC011D"/>
    <w:rsid w:val="58BC7A4F"/>
    <w:rsid w:val="58BE10F4"/>
    <w:rsid w:val="58D30D50"/>
    <w:rsid w:val="58F71D3C"/>
    <w:rsid w:val="59034E89"/>
    <w:rsid w:val="590430D9"/>
    <w:rsid w:val="592771B3"/>
    <w:rsid w:val="592B461A"/>
    <w:rsid w:val="592F3CCD"/>
    <w:rsid w:val="593414D3"/>
    <w:rsid w:val="593F7F43"/>
    <w:rsid w:val="59514664"/>
    <w:rsid w:val="595407F5"/>
    <w:rsid w:val="59647F39"/>
    <w:rsid w:val="598F5242"/>
    <w:rsid w:val="59994899"/>
    <w:rsid w:val="59F4354E"/>
    <w:rsid w:val="5A011674"/>
    <w:rsid w:val="5A0A2903"/>
    <w:rsid w:val="5A1A3806"/>
    <w:rsid w:val="5A2310DA"/>
    <w:rsid w:val="5A503158"/>
    <w:rsid w:val="5A5C2F66"/>
    <w:rsid w:val="5A5F1470"/>
    <w:rsid w:val="5A87654A"/>
    <w:rsid w:val="5ABB3E6B"/>
    <w:rsid w:val="5ADB513C"/>
    <w:rsid w:val="5B59304B"/>
    <w:rsid w:val="5B702436"/>
    <w:rsid w:val="5B7D69CC"/>
    <w:rsid w:val="5B864DB3"/>
    <w:rsid w:val="5B8D69B0"/>
    <w:rsid w:val="5BA61E9D"/>
    <w:rsid w:val="5BAC180F"/>
    <w:rsid w:val="5BB14810"/>
    <w:rsid w:val="5C146484"/>
    <w:rsid w:val="5C15648F"/>
    <w:rsid w:val="5C1F65FE"/>
    <w:rsid w:val="5C277668"/>
    <w:rsid w:val="5C4B773C"/>
    <w:rsid w:val="5C675183"/>
    <w:rsid w:val="5C7A3032"/>
    <w:rsid w:val="5C8A4FBC"/>
    <w:rsid w:val="5C8B4832"/>
    <w:rsid w:val="5C9E4C0E"/>
    <w:rsid w:val="5CE06D2D"/>
    <w:rsid w:val="5CE16B23"/>
    <w:rsid w:val="5D2E0319"/>
    <w:rsid w:val="5D3868AE"/>
    <w:rsid w:val="5D5435FE"/>
    <w:rsid w:val="5D667431"/>
    <w:rsid w:val="5D6D7D87"/>
    <w:rsid w:val="5DA662F2"/>
    <w:rsid w:val="5DAD4EF0"/>
    <w:rsid w:val="5DC93295"/>
    <w:rsid w:val="5DC95485"/>
    <w:rsid w:val="5DFF6BE2"/>
    <w:rsid w:val="5E0608F2"/>
    <w:rsid w:val="5E067502"/>
    <w:rsid w:val="5E417D99"/>
    <w:rsid w:val="5E517C0C"/>
    <w:rsid w:val="5E68406B"/>
    <w:rsid w:val="5E72043B"/>
    <w:rsid w:val="5E7553E0"/>
    <w:rsid w:val="5EC36599"/>
    <w:rsid w:val="5EFB5162"/>
    <w:rsid w:val="5EFD2103"/>
    <w:rsid w:val="5FA40C5E"/>
    <w:rsid w:val="5FAF4C3D"/>
    <w:rsid w:val="5FB15FA5"/>
    <w:rsid w:val="5FB76A1B"/>
    <w:rsid w:val="5FFD5F90"/>
    <w:rsid w:val="5FFF11B7"/>
    <w:rsid w:val="60596038"/>
    <w:rsid w:val="6078187F"/>
    <w:rsid w:val="607A33A1"/>
    <w:rsid w:val="608E0192"/>
    <w:rsid w:val="60E10AD2"/>
    <w:rsid w:val="60F1203D"/>
    <w:rsid w:val="60FF5B1D"/>
    <w:rsid w:val="6101266C"/>
    <w:rsid w:val="61135276"/>
    <w:rsid w:val="611451F5"/>
    <w:rsid w:val="61415767"/>
    <w:rsid w:val="618E04C6"/>
    <w:rsid w:val="61984B78"/>
    <w:rsid w:val="61A83C17"/>
    <w:rsid w:val="61B74390"/>
    <w:rsid w:val="61B90B45"/>
    <w:rsid w:val="61CC18F9"/>
    <w:rsid w:val="61D3428B"/>
    <w:rsid w:val="61D9507F"/>
    <w:rsid w:val="61EF189F"/>
    <w:rsid w:val="61FD50E7"/>
    <w:rsid w:val="61FF468F"/>
    <w:rsid w:val="620C6B2B"/>
    <w:rsid w:val="620D4467"/>
    <w:rsid w:val="62147F18"/>
    <w:rsid w:val="62182066"/>
    <w:rsid w:val="626259ED"/>
    <w:rsid w:val="626D6EBA"/>
    <w:rsid w:val="628B394F"/>
    <w:rsid w:val="62942ECA"/>
    <w:rsid w:val="62971B36"/>
    <w:rsid w:val="62A36F5A"/>
    <w:rsid w:val="630343D5"/>
    <w:rsid w:val="63365DB7"/>
    <w:rsid w:val="633B418F"/>
    <w:rsid w:val="635C3E44"/>
    <w:rsid w:val="635C7D08"/>
    <w:rsid w:val="637D3214"/>
    <w:rsid w:val="63926D4A"/>
    <w:rsid w:val="63AF68F4"/>
    <w:rsid w:val="63DA5F04"/>
    <w:rsid w:val="63F627ED"/>
    <w:rsid w:val="64034B4B"/>
    <w:rsid w:val="644C1342"/>
    <w:rsid w:val="647811C5"/>
    <w:rsid w:val="64950562"/>
    <w:rsid w:val="649E0914"/>
    <w:rsid w:val="64B553ED"/>
    <w:rsid w:val="64EE0462"/>
    <w:rsid w:val="64F308EA"/>
    <w:rsid w:val="65182E09"/>
    <w:rsid w:val="651F57E1"/>
    <w:rsid w:val="654E74D2"/>
    <w:rsid w:val="65521782"/>
    <w:rsid w:val="65951573"/>
    <w:rsid w:val="65C66A8D"/>
    <w:rsid w:val="65CD766E"/>
    <w:rsid w:val="65DF3A2E"/>
    <w:rsid w:val="65F358C2"/>
    <w:rsid w:val="663B3A4A"/>
    <w:rsid w:val="665122B5"/>
    <w:rsid w:val="66660D0E"/>
    <w:rsid w:val="66761F12"/>
    <w:rsid w:val="669A6AB2"/>
    <w:rsid w:val="66C9022D"/>
    <w:rsid w:val="66D8778D"/>
    <w:rsid w:val="66E541E8"/>
    <w:rsid w:val="66FA3F7E"/>
    <w:rsid w:val="6723096B"/>
    <w:rsid w:val="6746764E"/>
    <w:rsid w:val="67AA192C"/>
    <w:rsid w:val="67F0080D"/>
    <w:rsid w:val="684E150F"/>
    <w:rsid w:val="685C044D"/>
    <w:rsid w:val="687F1C99"/>
    <w:rsid w:val="68B60402"/>
    <w:rsid w:val="68C03E04"/>
    <w:rsid w:val="68EC6090"/>
    <w:rsid w:val="68F52343"/>
    <w:rsid w:val="691A6CE4"/>
    <w:rsid w:val="691E0267"/>
    <w:rsid w:val="691E3E97"/>
    <w:rsid w:val="69571672"/>
    <w:rsid w:val="6957338A"/>
    <w:rsid w:val="696D6061"/>
    <w:rsid w:val="697B5193"/>
    <w:rsid w:val="69801D1D"/>
    <w:rsid w:val="69867688"/>
    <w:rsid w:val="69B67042"/>
    <w:rsid w:val="69C26C53"/>
    <w:rsid w:val="69CE335A"/>
    <w:rsid w:val="69D66FEB"/>
    <w:rsid w:val="69DA2BA6"/>
    <w:rsid w:val="69FD1935"/>
    <w:rsid w:val="6A2F1DD4"/>
    <w:rsid w:val="6A504839"/>
    <w:rsid w:val="6A56535D"/>
    <w:rsid w:val="6A6443E0"/>
    <w:rsid w:val="6A761B4D"/>
    <w:rsid w:val="6A811F09"/>
    <w:rsid w:val="6AE37D5A"/>
    <w:rsid w:val="6AE529BF"/>
    <w:rsid w:val="6B5705C2"/>
    <w:rsid w:val="6B8269BD"/>
    <w:rsid w:val="6B9E68F6"/>
    <w:rsid w:val="6C12445D"/>
    <w:rsid w:val="6C130954"/>
    <w:rsid w:val="6C2014D4"/>
    <w:rsid w:val="6C276C44"/>
    <w:rsid w:val="6C320DDC"/>
    <w:rsid w:val="6C353DD8"/>
    <w:rsid w:val="6C3A0A68"/>
    <w:rsid w:val="6C4D2E7E"/>
    <w:rsid w:val="6CB84BD7"/>
    <w:rsid w:val="6CCA251F"/>
    <w:rsid w:val="6CCD5D53"/>
    <w:rsid w:val="6D166478"/>
    <w:rsid w:val="6D201636"/>
    <w:rsid w:val="6D366921"/>
    <w:rsid w:val="6D6F1A19"/>
    <w:rsid w:val="6D90663D"/>
    <w:rsid w:val="6DA86C46"/>
    <w:rsid w:val="6DAC70E7"/>
    <w:rsid w:val="6DB41E76"/>
    <w:rsid w:val="6DBA00D0"/>
    <w:rsid w:val="6DE37A24"/>
    <w:rsid w:val="6DE43FC7"/>
    <w:rsid w:val="6DE50682"/>
    <w:rsid w:val="6E094AFA"/>
    <w:rsid w:val="6E352E6A"/>
    <w:rsid w:val="6E6924E0"/>
    <w:rsid w:val="6E722B1A"/>
    <w:rsid w:val="6E730A52"/>
    <w:rsid w:val="6E91396F"/>
    <w:rsid w:val="6F854AAF"/>
    <w:rsid w:val="6FBF4A97"/>
    <w:rsid w:val="6FE97F06"/>
    <w:rsid w:val="6FF06951"/>
    <w:rsid w:val="6FF55CB3"/>
    <w:rsid w:val="70027A41"/>
    <w:rsid w:val="70080269"/>
    <w:rsid w:val="701633B1"/>
    <w:rsid w:val="7037360A"/>
    <w:rsid w:val="70425814"/>
    <w:rsid w:val="70552501"/>
    <w:rsid w:val="708B450E"/>
    <w:rsid w:val="70A05A62"/>
    <w:rsid w:val="70A33E90"/>
    <w:rsid w:val="70B42BDF"/>
    <w:rsid w:val="70C41967"/>
    <w:rsid w:val="70CC5926"/>
    <w:rsid w:val="70E92001"/>
    <w:rsid w:val="71064193"/>
    <w:rsid w:val="71076FA6"/>
    <w:rsid w:val="714C2C3D"/>
    <w:rsid w:val="71730BD1"/>
    <w:rsid w:val="71760F57"/>
    <w:rsid w:val="717D0D38"/>
    <w:rsid w:val="71A16E8B"/>
    <w:rsid w:val="71A35719"/>
    <w:rsid w:val="71BE40AD"/>
    <w:rsid w:val="71C631EA"/>
    <w:rsid w:val="71CE1D8F"/>
    <w:rsid w:val="71CF1561"/>
    <w:rsid w:val="71D40E6D"/>
    <w:rsid w:val="71E109E9"/>
    <w:rsid w:val="71E47D0E"/>
    <w:rsid w:val="72014133"/>
    <w:rsid w:val="72027C82"/>
    <w:rsid w:val="7252708E"/>
    <w:rsid w:val="72805DA1"/>
    <w:rsid w:val="729C3C8E"/>
    <w:rsid w:val="72A404A6"/>
    <w:rsid w:val="72CC6E21"/>
    <w:rsid w:val="72D66205"/>
    <w:rsid w:val="72EC71E0"/>
    <w:rsid w:val="72F55CD7"/>
    <w:rsid w:val="7300258D"/>
    <w:rsid w:val="7356348D"/>
    <w:rsid w:val="73614EB7"/>
    <w:rsid w:val="73640889"/>
    <w:rsid w:val="73A335B8"/>
    <w:rsid w:val="73B02F81"/>
    <w:rsid w:val="73B24A54"/>
    <w:rsid w:val="73FF1FB5"/>
    <w:rsid w:val="74013860"/>
    <w:rsid w:val="74223665"/>
    <w:rsid w:val="742C33F0"/>
    <w:rsid w:val="74344261"/>
    <w:rsid w:val="743C7039"/>
    <w:rsid w:val="74513867"/>
    <w:rsid w:val="746779AA"/>
    <w:rsid w:val="746A5E1F"/>
    <w:rsid w:val="747A46D5"/>
    <w:rsid w:val="74C164D1"/>
    <w:rsid w:val="74CB3EB2"/>
    <w:rsid w:val="74D840F9"/>
    <w:rsid w:val="74F00FC0"/>
    <w:rsid w:val="751A7941"/>
    <w:rsid w:val="75440862"/>
    <w:rsid w:val="755057F8"/>
    <w:rsid w:val="75647FF5"/>
    <w:rsid w:val="759A3753"/>
    <w:rsid w:val="75A04220"/>
    <w:rsid w:val="75B47D2E"/>
    <w:rsid w:val="75D27965"/>
    <w:rsid w:val="75D64E63"/>
    <w:rsid w:val="75DB1E2C"/>
    <w:rsid w:val="75DF611C"/>
    <w:rsid w:val="76044334"/>
    <w:rsid w:val="76081D79"/>
    <w:rsid w:val="76094996"/>
    <w:rsid w:val="760D7E1E"/>
    <w:rsid w:val="76133DFF"/>
    <w:rsid w:val="762A2405"/>
    <w:rsid w:val="762D3AF6"/>
    <w:rsid w:val="765535B8"/>
    <w:rsid w:val="76863B82"/>
    <w:rsid w:val="76904F28"/>
    <w:rsid w:val="769C492F"/>
    <w:rsid w:val="76BF741A"/>
    <w:rsid w:val="76D67E0C"/>
    <w:rsid w:val="76E06A8B"/>
    <w:rsid w:val="771A16B8"/>
    <w:rsid w:val="773237D8"/>
    <w:rsid w:val="773D555C"/>
    <w:rsid w:val="774F0D1D"/>
    <w:rsid w:val="775E5044"/>
    <w:rsid w:val="777008EE"/>
    <w:rsid w:val="7784428F"/>
    <w:rsid w:val="779520D7"/>
    <w:rsid w:val="779C5E36"/>
    <w:rsid w:val="77D12A2F"/>
    <w:rsid w:val="77F410A5"/>
    <w:rsid w:val="78113419"/>
    <w:rsid w:val="78225D08"/>
    <w:rsid w:val="785C0097"/>
    <w:rsid w:val="786304CA"/>
    <w:rsid w:val="7869519B"/>
    <w:rsid w:val="7890293D"/>
    <w:rsid w:val="78941917"/>
    <w:rsid w:val="78A84C76"/>
    <w:rsid w:val="78BF5530"/>
    <w:rsid w:val="78C979B9"/>
    <w:rsid w:val="78CD5A77"/>
    <w:rsid w:val="78E42F0B"/>
    <w:rsid w:val="78F92D7F"/>
    <w:rsid w:val="79187F20"/>
    <w:rsid w:val="792A2419"/>
    <w:rsid w:val="792D4D54"/>
    <w:rsid w:val="792F3F8D"/>
    <w:rsid w:val="794178B1"/>
    <w:rsid w:val="79766C2D"/>
    <w:rsid w:val="798023A3"/>
    <w:rsid w:val="79805EE2"/>
    <w:rsid w:val="79B469D2"/>
    <w:rsid w:val="79BA3B23"/>
    <w:rsid w:val="79BB47C3"/>
    <w:rsid w:val="79C74F59"/>
    <w:rsid w:val="79C804C4"/>
    <w:rsid w:val="79D61151"/>
    <w:rsid w:val="79E039A6"/>
    <w:rsid w:val="79FD3B2C"/>
    <w:rsid w:val="7A0F1B0A"/>
    <w:rsid w:val="7A655B5B"/>
    <w:rsid w:val="7A705780"/>
    <w:rsid w:val="7A89652A"/>
    <w:rsid w:val="7A9F5BD4"/>
    <w:rsid w:val="7AB85AB3"/>
    <w:rsid w:val="7AC27C2C"/>
    <w:rsid w:val="7ADA18F5"/>
    <w:rsid w:val="7B327699"/>
    <w:rsid w:val="7B546D26"/>
    <w:rsid w:val="7B5D1007"/>
    <w:rsid w:val="7B783535"/>
    <w:rsid w:val="7B8C16BB"/>
    <w:rsid w:val="7BB4314C"/>
    <w:rsid w:val="7BBC7949"/>
    <w:rsid w:val="7BC9620E"/>
    <w:rsid w:val="7BF41797"/>
    <w:rsid w:val="7C101482"/>
    <w:rsid w:val="7C291BEA"/>
    <w:rsid w:val="7C2A5574"/>
    <w:rsid w:val="7C5B38E3"/>
    <w:rsid w:val="7C5C20C7"/>
    <w:rsid w:val="7C6A3C0A"/>
    <w:rsid w:val="7C855A2B"/>
    <w:rsid w:val="7C964189"/>
    <w:rsid w:val="7CA3256B"/>
    <w:rsid w:val="7CB26396"/>
    <w:rsid w:val="7CBC7337"/>
    <w:rsid w:val="7CD04036"/>
    <w:rsid w:val="7CD635C9"/>
    <w:rsid w:val="7CE6026C"/>
    <w:rsid w:val="7CF320FA"/>
    <w:rsid w:val="7CF34BA7"/>
    <w:rsid w:val="7D257715"/>
    <w:rsid w:val="7D2B6BC5"/>
    <w:rsid w:val="7D4670D3"/>
    <w:rsid w:val="7D4B1CD9"/>
    <w:rsid w:val="7D560011"/>
    <w:rsid w:val="7DC11442"/>
    <w:rsid w:val="7DCD4F06"/>
    <w:rsid w:val="7DD06026"/>
    <w:rsid w:val="7DD23472"/>
    <w:rsid w:val="7DDC10D0"/>
    <w:rsid w:val="7DFF39F4"/>
    <w:rsid w:val="7E092DFF"/>
    <w:rsid w:val="7E2419F5"/>
    <w:rsid w:val="7E433296"/>
    <w:rsid w:val="7E44439C"/>
    <w:rsid w:val="7E4613E9"/>
    <w:rsid w:val="7E4C3E43"/>
    <w:rsid w:val="7E4E1282"/>
    <w:rsid w:val="7E5C38C7"/>
    <w:rsid w:val="7E630A0D"/>
    <w:rsid w:val="7E65513F"/>
    <w:rsid w:val="7E8E6D75"/>
    <w:rsid w:val="7EB25184"/>
    <w:rsid w:val="7EBF7B99"/>
    <w:rsid w:val="7ED74F01"/>
    <w:rsid w:val="7F0B002E"/>
    <w:rsid w:val="7F3C727B"/>
    <w:rsid w:val="7F4D1682"/>
    <w:rsid w:val="7F6D46CC"/>
    <w:rsid w:val="7F8411C9"/>
    <w:rsid w:val="7F874420"/>
    <w:rsid w:val="7FBB2D0D"/>
    <w:rsid w:val="7FC80DF8"/>
    <w:rsid w:val="7FEB770A"/>
    <w:rsid w:val="7FF921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next w:val="1"/>
    <w:qFormat/>
    <w:uiPriority w:val="1"/>
    <w:pPr>
      <w:widowControl w:val="0"/>
      <w:autoSpaceDE w:val="0"/>
      <w:autoSpaceDN w:val="0"/>
      <w:spacing w:before="61"/>
      <w:ind w:left="1040"/>
      <w:outlineLvl w:val="0"/>
    </w:pPr>
    <w:rPr>
      <w:rFonts w:ascii="楷体" w:hAnsi="楷体" w:eastAsia="楷体" w:cs="楷体"/>
      <w:sz w:val="28"/>
      <w:szCs w:val="28"/>
      <w:lang w:val="zh-CN" w:eastAsia="zh-CN" w:bidi="zh-CN"/>
    </w:rPr>
  </w:style>
  <w:style w:type="character" w:default="1" w:styleId="11">
    <w:name w:val="Default Paragraph Font"/>
    <w:semiHidden/>
    <w:unhideWhenUsed/>
    <w:qFormat/>
    <w:uiPriority w:val="1"/>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1"/>
    <w:pPr>
      <w:spacing w:before="2"/>
    </w:pPr>
    <w:rPr>
      <w:rFonts w:ascii="楷体" w:hAnsi="楷体" w:eastAsia="楷体" w:cs="楷体"/>
      <w:sz w:val="20"/>
      <w:szCs w:val="20"/>
      <w:lang w:val="zh-CN" w:eastAsia="zh-CN" w:bidi="zh-CN"/>
    </w:rPr>
  </w:style>
  <w:style w:type="paragraph" w:styleId="4">
    <w:name w:val="Body Text Indent"/>
    <w:basedOn w:val="1"/>
    <w:qFormat/>
    <w:uiPriority w:val="0"/>
    <w:pPr>
      <w:spacing w:after="120" w:afterLines="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Normal (Web)"/>
    <w:basedOn w:val="1"/>
    <w:unhideWhenUsed/>
    <w:qFormat/>
    <w:uiPriority w:val="99"/>
    <w:pPr>
      <w:widowControl/>
      <w:spacing w:before="100" w:beforeAutospacing="1" w:after="100" w:afterAutospacing="1"/>
    </w:pPr>
    <w:rPr>
      <w:rFonts w:ascii="宋体" w:hAnsi="宋体" w:eastAsia="宋体" w:cs="宋体"/>
      <w:color w:val="auto"/>
      <w:lang w:eastAsia="zh-CN" w:bidi="ar-SA"/>
    </w:rPr>
  </w:style>
  <w:style w:type="paragraph" w:styleId="9">
    <w:name w:val="Body Text First Indent 2"/>
    <w:basedOn w:val="4"/>
    <w:next w:val="3"/>
    <w:qFormat/>
    <w:uiPriority w:val="0"/>
    <w:pPr>
      <w:ind w:firstLine="420" w:firstLineChars="200"/>
    </w:pPr>
  </w:style>
  <w:style w:type="character" w:styleId="12">
    <w:name w:val="Strong"/>
    <w:basedOn w:val="11"/>
    <w:qFormat/>
    <w:uiPriority w:val="22"/>
    <w:rPr>
      <w:b/>
      <w:bCs/>
    </w:rPr>
  </w:style>
  <w:style w:type="character" w:styleId="13">
    <w:name w:val="Hyperlink"/>
    <w:basedOn w:val="11"/>
    <w:qFormat/>
    <w:uiPriority w:val="0"/>
    <w:rPr>
      <w:color w:val="0000FF"/>
      <w:u w:val="single"/>
    </w:rPr>
  </w:style>
  <w:style w:type="table" w:customStyle="1" w:styleId="14">
    <w:name w:val="Table Normal"/>
    <w:semiHidden/>
    <w:unhideWhenUsed/>
    <w:qFormat/>
    <w:uiPriority w:val="2"/>
    <w:tblPr>
      <w:tblCellMar>
        <w:top w:w="0" w:type="dxa"/>
        <w:left w:w="0" w:type="dxa"/>
        <w:bottom w:w="0" w:type="dxa"/>
        <w:right w:w="0" w:type="dxa"/>
      </w:tblCellMar>
    </w:tblPr>
  </w:style>
  <w:style w:type="paragraph" w:styleId="15">
    <w:name w:val="List Paragraph"/>
    <w:basedOn w:val="1"/>
    <w:qFormat/>
    <w:uiPriority w:val="1"/>
    <w:rPr>
      <w:lang w:val="zh-CN" w:eastAsia="zh-CN" w:bidi="zh-CN"/>
    </w:rPr>
  </w:style>
  <w:style w:type="paragraph" w:customStyle="1" w:styleId="16">
    <w:name w:val="Table Paragraph"/>
    <w:basedOn w:val="1"/>
    <w:qFormat/>
    <w:uiPriority w:val="1"/>
    <w:rPr>
      <w:rFonts w:ascii="宋体" w:hAnsi="宋体" w:eastAsia="宋体" w:cs="宋体"/>
      <w:lang w:val="zh-CN" w:eastAsia="zh-CN" w:bidi="zh-CN"/>
    </w:rPr>
  </w:style>
  <w:style w:type="paragraph" w:customStyle="1" w:styleId="1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eastAsia="方正小标宋_GBK"/>
      <w:sz w:val="44"/>
    </w:rPr>
  </w:style>
  <w:style w:type="paragraph" w:customStyle="1" w:styleId="18">
    <w:name w:val="其他"/>
    <w:basedOn w:val="1"/>
    <w:link w:val="20"/>
    <w:qFormat/>
    <w:uiPriority w:val="0"/>
    <w:pPr>
      <w:spacing w:line="180" w:lineRule="exact"/>
      <w:ind w:firstLine="420"/>
    </w:pPr>
    <w:rPr>
      <w:rFonts w:ascii="宋体" w:hAnsi="宋体" w:eastAsia="宋体" w:cs="宋体"/>
      <w:sz w:val="16"/>
      <w:szCs w:val="16"/>
      <w:lang w:val="zh-CN" w:eastAsia="zh-CN" w:bidi="zh-CN"/>
    </w:rPr>
  </w:style>
  <w:style w:type="paragraph" w:customStyle="1" w:styleId="19">
    <w:name w:val="标题 #2"/>
    <w:basedOn w:val="1"/>
    <w:qFormat/>
    <w:uiPriority w:val="0"/>
    <w:pPr>
      <w:spacing w:after="40"/>
      <w:ind w:firstLine="770"/>
      <w:outlineLvl w:val="1"/>
    </w:pPr>
    <w:rPr>
      <w:rFonts w:ascii="宋体" w:hAnsi="宋体" w:eastAsia="宋体" w:cs="宋体"/>
      <w:sz w:val="26"/>
      <w:szCs w:val="26"/>
      <w:lang w:val="zh-CN" w:eastAsia="zh-CN" w:bidi="zh-CN"/>
    </w:rPr>
  </w:style>
  <w:style w:type="character" w:customStyle="1" w:styleId="20">
    <w:name w:val="其他 Char"/>
    <w:link w:val="18"/>
    <w:qFormat/>
    <w:uiPriority w:val="0"/>
    <w:rPr>
      <w:rFonts w:ascii="宋体" w:hAnsi="宋体" w:eastAsia="宋体" w:cs="宋体"/>
      <w:sz w:val="16"/>
      <w:szCs w:val="16"/>
      <w:lang w:val="zh-CN" w:eastAsia="zh-CN" w:bidi="zh-CN"/>
    </w:rPr>
  </w:style>
  <w:style w:type="paragraph" w:customStyle="1" w:styleId="2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10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1335</Words>
  <Characters>1350</Characters>
  <TotalTime>84</TotalTime>
  <ScaleCrop>false</ScaleCrop>
  <LinksUpToDate>false</LinksUpToDate>
  <CharactersWithSpaces>1359</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2023-07-06T01:57:00Z</dcterms:created>
  <dc:creator>a'dmin</dc:creator>
  <cp:lastModifiedBy>カエデ</cp:lastModifiedBy>
  <cp:lastPrinted>2023-11-10T01:13:00Z</cp:lastPrinted>
  <dcterms:modified xsi:type="dcterms:W3CDTF">2024-04-30T05:34:49Z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2023-06-12T00:00:00Z</vt:filetime>
  </property>
  <property fmtid="{D5CDD505-2E9C-101B-9397-08002B2CF9AE}" pid="3" name="Creator">
    <vt:lpwstr>ABBYY FineReader PDF 15</vt:lpwstr>
  </property>
  <property fmtid="{D5CDD505-2E9C-101B-9397-08002B2CF9AE}" pid="4" name="LastSaved">
    <vt:filetime>2023-07-06T00:00:00Z</vt:filetime>
  </property>
  <property fmtid="{D5CDD505-2E9C-101B-9397-08002B2CF9AE}" pid="5" name="KSOProductBuildVer">
    <vt:lpwstr>2052-11.1.0.10009</vt:lpwstr>
  </property>
  <property fmtid="{D5CDD505-2E9C-101B-9397-08002B2CF9AE}" pid="6" name="ICV">
    <vt:lpwstr>9D3769DBD25642BBA69B2850CABAC3DE_12</vt:lpwstr>
  </property>
</Properties>
</file>