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before="184" w:line="592" w:lineRule="exact"/>
        <w:ind w:left="2237" w:right="1123" w:hanging="1096"/>
        <w:jc w:val="both"/>
        <w:textAlignment w:val="baseline"/>
        <w:rPr>
          <w:rFonts w:hint="eastAsia" w:ascii="方正小标宋_GBK" w:hAnsi="方正小标宋_GBK" w:eastAsia="方正小标宋_GBK" w:cs="方正小标宋_GBK"/>
          <w:sz w:val="44"/>
          <w:szCs w:val="44"/>
        </w:rPr>
      </w:pPr>
      <w:bookmarkStart w:id="0" w:name="_GoBack"/>
      <w:r>
        <w:rPr>
          <w:rFonts w:hint="eastAsia" w:ascii="方正小标宋_GBK" w:hAnsi="方正小标宋_GBK" w:eastAsia="方正小标宋_GBK" w:cs="方正小标宋_GBK"/>
          <w:spacing w:val="12"/>
          <w:sz w:val="44"/>
          <w:szCs w:val="44"/>
        </w:rPr>
        <w:t>无</w:t>
      </w:r>
      <w:r>
        <w:rPr>
          <w:rFonts w:hint="eastAsia" w:ascii="方正小标宋_GBK" w:hAnsi="方正小标宋_GBK" w:eastAsia="方正小标宋_GBK" w:cs="方正小标宋_GBK"/>
          <w:spacing w:val="9"/>
          <w:sz w:val="44"/>
          <w:szCs w:val="44"/>
        </w:rPr>
        <w:t>锡市滨湖区江苏省知识产权建</w:t>
      </w:r>
      <w:bookmarkEnd w:id="0"/>
      <w:r>
        <w:rPr>
          <w:rFonts w:hint="eastAsia" w:ascii="方正小标宋_GBK" w:hAnsi="方正小标宋_GBK" w:eastAsia="方正小标宋_GBK" w:cs="方正小标宋_GBK"/>
          <w:spacing w:val="9"/>
          <w:sz w:val="44"/>
          <w:szCs w:val="44"/>
        </w:rPr>
        <w:t>设</w:t>
      </w:r>
      <w:r>
        <w:rPr>
          <w:rFonts w:hint="eastAsia" w:ascii="方正小标宋_GBK" w:hAnsi="方正小标宋_GBK" w:eastAsia="方正小标宋_GBK" w:cs="方正小标宋_GBK"/>
          <w:spacing w:val="35"/>
          <w:sz w:val="44"/>
          <w:szCs w:val="44"/>
        </w:rPr>
        <w:t>示</w:t>
      </w:r>
      <w:r>
        <w:rPr>
          <w:rFonts w:hint="eastAsia" w:ascii="方正小标宋_GBK" w:hAnsi="方正小标宋_GBK" w:eastAsia="方正小标宋_GBK" w:cs="方正小标宋_GBK"/>
          <w:spacing w:val="34"/>
          <w:sz w:val="44"/>
          <w:szCs w:val="44"/>
        </w:rPr>
        <w:t>范</w:t>
      </w:r>
      <w:r>
        <w:rPr>
          <w:rFonts w:hint="eastAsia" w:ascii="方正小标宋_GBK" w:hAnsi="方正小标宋_GBK" w:eastAsia="方正小标宋_GBK" w:cs="方正小标宋_GBK"/>
          <w:spacing w:val="34"/>
          <w:sz w:val="44"/>
          <w:szCs w:val="44"/>
          <w:lang w:eastAsia="zh-CN"/>
        </w:rPr>
        <w:t>（</w:t>
      </w:r>
      <w:r>
        <w:rPr>
          <w:rFonts w:hint="eastAsia" w:ascii="方正小标宋_GBK" w:hAnsi="方正小标宋_GBK" w:eastAsia="方正小标宋_GBK" w:cs="方正小标宋_GBK"/>
          <w:spacing w:val="34"/>
          <w:sz w:val="44"/>
          <w:szCs w:val="44"/>
        </w:rPr>
        <w:t>县域</w:t>
      </w:r>
      <w:r>
        <w:rPr>
          <w:rFonts w:hint="eastAsia" w:ascii="方正小标宋_GBK" w:hAnsi="方正小标宋_GBK" w:eastAsia="方正小标宋_GBK" w:cs="方正小标宋_GBK"/>
          <w:spacing w:val="34"/>
          <w:sz w:val="44"/>
          <w:szCs w:val="44"/>
          <w:lang w:eastAsia="zh-CN"/>
        </w:rPr>
        <w:t>）</w:t>
      </w:r>
      <w:r>
        <w:rPr>
          <w:rFonts w:hint="eastAsia" w:ascii="方正小标宋_GBK" w:hAnsi="方正小标宋_GBK" w:eastAsia="方正小标宋_GBK" w:cs="方正小标宋_GBK"/>
          <w:spacing w:val="34"/>
          <w:sz w:val="44"/>
          <w:szCs w:val="44"/>
        </w:rPr>
        <w:t>工作方案</w:t>
      </w:r>
    </w:p>
    <w:p>
      <w:pPr>
        <w:keepNext w:val="0"/>
        <w:keepLines w:val="0"/>
        <w:pageBreakBefore w:val="0"/>
        <w:widowControl/>
        <w:tabs>
          <w:tab w:val="left" w:pos="155"/>
        </w:tabs>
        <w:kinsoku w:val="0"/>
        <w:wordWrap/>
        <w:overflowPunct/>
        <w:topLinePunct w:val="0"/>
        <w:autoSpaceDE w:val="0"/>
        <w:autoSpaceDN w:val="0"/>
        <w:bidi w:val="0"/>
        <w:adjustRightInd w:val="0"/>
        <w:snapToGrid w:val="0"/>
        <w:spacing w:before="133" w:line="592" w:lineRule="exact"/>
        <w:ind w:firstLine="678"/>
        <w:jc w:val="both"/>
        <w:textAlignment w:val="baseline"/>
        <w:rPr>
          <w:rFonts w:ascii="微软雅黑" w:hAnsi="微软雅黑" w:eastAsia="微软雅黑" w:cs="微软雅黑"/>
          <w:spacing w:val="8"/>
          <w:sz w:val="31"/>
          <w:szCs w:val="31"/>
        </w:rPr>
      </w:pP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为大力实施知识产权战略、加快建设知识产权强区，全面推进知识产权治理体系和治理能力现代化，着力提升知识产权支撑引领经济高质量发展水平，依据《江苏省知识产权强省建设纲要</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2021-2035年</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》《江苏省“十四五”知识产权发展规划》和江苏省知识产权局《关于面向县域、园区开展2022年度江苏省知识产权建设示范工作的通知》</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苏知发</w:t>
      </w:r>
      <w:r>
        <w:rPr>
          <w:rFonts w:hint="default" w:ascii="方正仿宋_GBK" w:hAnsi="方正仿宋_GBK" w:eastAsia="方正仿宋_GBK" w:cs="方正仿宋_GBK"/>
          <w:sz w:val="32"/>
          <w:szCs w:val="32"/>
          <w:lang w:val="en-US"/>
        </w:rPr>
        <w:t>[</w:t>
      </w:r>
      <w:r>
        <w:rPr>
          <w:rFonts w:hint="eastAsia" w:ascii="方正仿宋_GBK" w:hAnsi="方正仿宋_GBK" w:eastAsia="方正仿宋_GBK" w:cs="方正仿宋_GBK"/>
          <w:sz w:val="32"/>
          <w:szCs w:val="32"/>
        </w:rPr>
        <w:t>2022</w:t>
      </w:r>
      <w:r>
        <w:rPr>
          <w:rFonts w:hint="default" w:ascii="方正仿宋_GBK" w:hAnsi="方正仿宋_GBK" w:eastAsia="方正仿宋_GBK" w:cs="方正仿宋_GBK"/>
          <w:sz w:val="32"/>
          <w:szCs w:val="32"/>
          <w:lang w:val="en-US"/>
        </w:rPr>
        <w:t>]</w:t>
      </w:r>
      <w:r>
        <w:rPr>
          <w:rFonts w:hint="eastAsia" w:ascii="方正仿宋_GBK" w:hAnsi="方正仿宋_GBK" w:eastAsia="方正仿宋_GBK" w:cs="方正仿宋_GBK"/>
          <w:sz w:val="32"/>
          <w:szCs w:val="32"/>
        </w:rPr>
        <w:t>84号</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，编制本方案。</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eastAsia="zh-CN"/>
        </w:rPr>
        <w:t>、</w:t>
      </w:r>
      <w:r>
        <w:rPr>
          <w:rFonts w:hint="eastAsia" w:ascii="方正黑体_GBK" w:hAnsi="方正黑体_GBK" w:eastAsia="方正黑体_GBK" w:cs="方正黑体_GBK"/>
          <w:sz w:val="32"/>
          <w:szCs w:val="32"/>
        </w:rPr>
        <w:t>总体要求</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一</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指导思想</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以习近平新时代中国特色社会主义思想为指导，深入贯彻党的二十大精神，全面落实习近平总书记关于知识产权工作的重要指示论述，立足新发展阶段，贯彻新发展理念，服务构建新发展格局，坚持以推动高质量发展为主题，以科技创新为龙头，以太湖湾科创带引领区建设为抓手，以深化供给侧结构性改革为主线，以改革创新为根本动力；充分发挥知识产权在现代化治理体系中的保障作用，充分发挥知识产权在经济社会发展中的引领作用和自主创新中的保护作用。坚持强基固本，持续聚力创新，大力实施知识产权强区战略，推动知识产权高水平创新、高效益运用、高规格保护、高标准管理、高品质服务、高质量人才引进、高起点开放，纵深推进“强富美高”要求在滨湖创新实践，实现知识产权治理体系和治理能力现代化走在全国前列，为滨湖“五湾五城”拥湖发展新功能区定位赋能加码，开启全面建设“靓丽太湖湾、活力科创带”新征程。</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二</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基本原则</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坚持率先发展为引领，促进知识产权创造数质量双提升。着力加强高价值专利培育，不断提升区域核心竞争力，以知识产权创造从“数量”向“质量”转变为导向，大力推进创新创造，发展自主知识产权，将知识产权与太湖湾科创带引领区建设深度融合。</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坚持高效运用为抓手，促进知识产权转化实施双提高。着力培育知识产权新兴市场，不断提高知识产权运用价值，以知识产权运用从“探索”向“规模”转变为导向，推动知识产权产业化、金融化，促进智力成果市场价值和金融属性深度融合。</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坚持环境营造为重点，促进知识产权行政与司法保护双增强。着力加强科技创新全链条保护，不断提高发明人创造积极性，以知识产权保护从“覆盖”向“高地”转变为导向，营造严保护氛围，优化大保护格局，打造快保护通道，健全同保护机制，加大对恶意侵权、重复侵权的打击力度。</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坚持优质服务为支撑，促进知识产权服务与人才双优化。着力加强知识产权服务业集聚发展，不断提高知识产权服务质量，以知识产权服务从“便捷”向“满意”转变为导向，深化知识产权领域“放管服”改革，在破解知识产权治理难点上持续用力，提升知识产权服务品质。</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二、工作目标</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一</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总体目标</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到2025年，知识产权发展主要指标达到知识产权建设示范县域领先水平，知识产权综合实力和绩效领跑全市，率先建成太湖湾科创带知识产权新高地和在省内有一定影响力的知识产权强区，成为知识产权高水平创造标杆区、知识产权高效益运用试验区、知识产权高规格保护示范区、知识产权高标准管理规范区、知识产权高品质服务引领区。</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二</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具体目标</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知识产权管理水平显著提升。知识产权行政体制机制更加完备，知识产权行政管理队伍日益健全；支撑知识产权高质量发展的政策体系更加健全，省级以上知识产权示范园区累计达1家，新增知识产权密集型企业100家，新增贯标单位100家，万企拥有有效注册商标企业数达1300家。</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知识产权创造质量显著提升。海外发明专利授权量累计达100件，万人高价值发明专利拥有量达25件；马德里国际商标有效注册量累计超过5件，地理标志证明商标注册数量累计达4件；万人一般作品和软件著作权登记量达60件。</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——知识产权运用效能显著提升。新增省市知识产权项目达5项；组建战略新兴产业知识产权联盟3个；培育知识产权运营服务载体累计达5家，知识产权质押融资、许可转让交易额累计达18亿元。</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——知识产权保护能力显著提升。全区知识产权保护体系更加完善，“严大快同”知识产权保护格局更加健全。争创江苏省知识产权保护示范区，省市“正版正货”示范街区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行业</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累计达3家以上，知识产权保护社会满意度达85分以上，培育一批高质量的商业秘密保护维权联系点、商业秘密保护示范点。</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知识产权服务品质显著提升。加强无锡市知识产权服务业集聚区建设，搭建知识产权公共服务、交易、运营一站式服务平台。累计招引45家知识产权服务机构，培育龙头型综合性知识产权服务机构2家，区内知识产权服务业从业人员达1200人，知识产权服务机构主营业务收入增幅累计超过25%，专利代理率达92%以上。</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知识产权人才引育显著提升。知识产权高层次人才引进和培养机制基本健全，造就一批知识产权高层次人才；新增专利代理师、工程师、内审员等知识产权专业人才超过150人；组织实施知识产权培训“五进”计划，培训人数达2500人、培训企业达250家；利用世界知识产权日等节点契机，组织各类活动10场，建设知识产权人才培训实践基地1个，知识产权公众认知度达90%以上。</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三、重点任务</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560" w:firstLineChars="200"/>
        <w:jc w:val="both"/>
        <w:textAlignment w:val="baseline"/>
        <w:rPr>
          <w:rFonts w:hint="eastAsia" w:ascii="方正楷体_GBK" w:hAnsi="方正楷体_GBK" w:eastAsia="方正楷体_GBK" w:cs="方正楷体_GBK"/>
          <w:spacing w:val="-20"/>
          <w:sz w:val="32"/>
          <w:szCs w:val="32"/>
        </w:rPr>
      </w:pPr>
      <w:r>
        <w:rPr>
          <w:rFonts w:hint="eastAsia" w:ascii="方正楷体_GBK" w:hAnsi="方正楷体_GBK" w:eastAsia="方正楷体_GBK" w:cs="方正楷体_GBK"/>
          <w:spacing w:val="-20"/>
          <w:sz w:val="32"/>
          <w:szCs w:val="32"/>
          <w:lang w:eastAsia="zh-CN"/>
        </w:rPr>
        <w:t>（</w:t>
      </w:r>
      <w:r>
        <w:rPr>
          <w:rFonts w:hint="eastAsia" w:ascii="方正楷体_GBK" w:hAnsi="方正楷体_GBK" w:eastAsia="方正楷体_GBK" w:cs="方正楷体_GBK"/>
          <w:spacing w:val="-20"/>
          <w:sz w:val="32"/>
          <w:szCs w:val="32"/>
        </w:rPr>
        <w:t>一</w:t>
      </w:r>
      <w:r>
        <w:rPr>
          <w:rFonts w:hint="eastAsia" w:ascii="方正楷体_GBK" w:hAnsi="方正楷体_GBK" w:eastAsia="方正楷体_GBK" w:cs="方正楷体_GBK"/>
          <w:spacing w:val="-20"/>
          <w:sz w:val="32"/>
          <w:szCs w:val="32"/>
          <w:lang w:eastAsia="zh-CN"/>
        </w:rPr>
        <w:t>）</w:t>
      </w:r>
      <w:r>
        <w:rPr>
          <w:rFonts w:hint="eastAsia" w:ascii="方正楷体_GBK" w:hAnsi="方正楷体_GBK" w:eastAsia="方正楷体_GBK" w:cs="方正楷体_GBK"/>
          <w:spacing w:val="-20"/>
          <w:sz w:val="32"/>
          <w:szCs w:val="32"/>
        </w:rPr>
        <w:t>提升知识产权治理能力，构建高水平知识产权管理体系</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1．注重知识产权政策措施研究。</w:t>
      </w:r>
      <w:r>
        <w:rPr>
          <w:rFonts w:hint="eastAsia" w:ascii="方正仿宋_GBK" w:hAnsi="方正仿宋_GBK" w:eastAsia="方正仿宋_GBK" w:cs="方正仿宋_GBK"/>
          <w:sz w:val="32"/>
          <w:szCs w:val="32"/>
        </w:rPr>
        <w:t>用好用足知识产权服务业集聚区相关政策，引导集聚区建设向更优质、更高效、更全面方向发展，争创国家级知识产权服务业集聚区。依据国家及江苏省知识产权“严大快同”保护的有关要求，提升知识产权保护政策力度。结合滨湖区园区、高校、产业、企业等知识产权工作实际，修订太湖湾科创带引领区政策中的知识产权条款，完善符合知识产权建设示范县域标准、保护要求和产业发展水平的知识产权政策体系。</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2．注重知识产权管理体系建设。</w:t>
      </w:r>
      <w:r>
        <w:rPr>
          <w:rFonts w:hint="eastAsia" w:ascii="方正仿宋_GBK" w:hAnsi="方正仿宋_GBK" w:eastAsia="方正仿宋_GBK" w:cs="方正仿宋_GBK"/>
          <w:sz w:val="32"/>
          <w:szCs w:val="32"/>
        </w:rPr>
        <w:t>强化知识产权建设示范县域的组织领导，加强区知识产权战略实施工作领导小组协调推进知识产权强区建设工作力度，着力构建区委区政府、区知识产权管理部门、园区街道三级联动的知识产权治理体系，形成部门联动、齐抓共管、共同推进的知识产权工作治理格局。构建司法、行政、社会三位一体的知识产权保护治理体系，加强知识产权行政执法队伍、知识产权保护中心工作站、知识产权协会等组织机构建设，形成知识产权司法、行政、社会知识产权强保护的治理格局。构建知识产权市场一体化治理体系，保障区域知识产权市场规范经营。</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3．注重知识产权信用监管工作。</w:t>
      </w:r>
      <w:r>
        <w:rPr>
          <w:rFonts w:hint="eastAsia" w:ascii="方正仿宋_GBK" w:hAnsi="方正仿宋_GBK" w:eastAsia="方正仿宋_GBK" w:cs="方正仿宋_GBK"/>
          <w:sz w:val="32"/>
          <w:szCs w:val="32"/>
        </w:rPr>
        <w:t>切实加强知识产权信用监管工作的组织领导，建立健全区、街道</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园区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协会等信用联络员制度，构建知识产权信用分类监管机制。依据《专利代理惩戒规则》《专利代理信用管理办法》，开展“双随机、一公开”抽查工作，强化知识产权信用联合惩戒机制。对区域创新主体进行信用分类监管，建立知识产权信用社会公示和查询制度。</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二</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提高知识产权创造质量，培育知识产权密集型产业</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4．实施高价值专利培育计划。</w:t>
      </w:r>
      <w:r>
        <w:rPr>
          <w:rFonts w:hint="eastAsia" w:ascii="方正仿宋_GBK" w:hAnsi="方正仿宋_GBK" w:eastAsia="方正仿宋_GBK" w:cs="方正仿宋_GBK"/>
          <w:sz w:val="32"/>
          <w:szCs w:val="32"/>
        </w:rPr>
        <w:t>围绕国家、省、市知识产权高质量发展考核指标，构建区域高价值专利培育体系；依据省、市高价值专利培育实施计划，建立以创新型企业为主体的产学研结合新模式，形成一批具有国际国内核心竞争力的高价值专利。充分发挥区域知识产权创造的优势，突破一批“卡脖子”关键技术，推进重大专利技术和创新成果的产业化，积极申报国家、省、市专利奖。发挥江南大学、原子能医学研究所、58所等驻区高校及科研院所强劲的知识产权创造实力，突出高价值专利培育项目的示范引领作用，推动滨湖区“543”产业体系发展壮大，形成1-2项具有国际核心竞争力的关键技术。</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5．实施专利导航产业发展计划。</w:t>
      </w:r>
      <w:r>
        <w:rPr>
          <w:rFonts w:hint="eastAsia" w:ascii="方正仿宋_GBK" w:hAnsi="方正仿宋_GBK" w:eastAsia="方正仿宋_GBK" w:cs="方正仿宋_GBK"/>
          <w:sz w:val="32"/>
          <w:szCs w:val="32"/>
        </w:rPr>
        <w:t>聚焦滨湖区现代产业体系发展需求，搭建专利信息平台，开展产业专利情报分析，进行产业专利布局。引导园区制定《中长期专利导航产业发展规划》，深入推进“一园区一产业一导航”，研究制定《知识产权密集型企业培育目录》，助推生命健康、集成电路等重点产业创新发展。加强知识产权密集型企业统计监测，定期发布《知识产权密集型企业发展报告》。支持蠡园经济开发区创建知识产权强国建设试点园区、江苏省知识产权建设示范园区。积极申报国家、省级专利导航服务基地。指导企业建立专利信息数据库，开展专利布局。增强企业高价值专利培育意识，注重产学研合作，着力提升知识产权核心竞争力；组织企业申报国家、省、市知识产权项目，培育国家知识产权优势示范企业。</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6．实施商标品牌培育计划。</w:t>
      </w:r>
      <w:r>
        <w:rPr>
          <w:rFonts w:hint="eastAsia" w:ascii="方正仿宋_GBK" w:hAnsi="方正仿宋_GBK" w:eastAsia="方正仿宋_GBK" w:cs="方正仿宋_GBK"/>
          <w:sz w:val="32"/>
          <w:szCs w:val="32"/>
        </w:rPr>
        <w:t>推进滨湖区专利商标“双轮驱动”战略的实施，加快产业集群品牌基地建设，建设一批具有产业特色的知识产权工作站和商标品牌指导站。围绕滨湖区5大重点产业、4大特色产业、3大未来产业，着力提升企业自主商标拥有率，提高商标品牌拥有量和使用水平；推进企业开展商标品牌海外布局，降低企业商标品牌海外风险，实现品牌的市场价值。引导企业积极参加国内外展会活动，将自创品牌与收购、租用知名品牌相结合，提升国际国内品牌形象。</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7．实施地理标志培育计划。</w:t>
      </w:r>
      <w:r>
        <w:rPr>
          <w:rFonts w:hint="eastAsia" w:ascii="方正仿宋_GBK" w:hAnsi="方正仿宋_GBK" w:eastAsia="方正仿宋_GBK" w:cs="方正仿宋_GBK"/>
          <w:sz w:val="32"/>
          <w:szCs w:val="32"/>
        </w:rPr>
        <w:t>围绕乡村振兴战略，加强地理标志保护工作，形成一批具有滨湖特色、高影响力的地理标志产品，助推区域社会经济高质量发展。围绕涉农乡镇需求，充分发挥行业协会的作用，引导相关主体积极申报国家地理标志产品。加强大浮杨梅、马山芋头、无锡毫茶等滨湖区地理标志产品市场开拓力度，鼓励企业与电商合作开展地理标志产品网络营销，推动地理标志产品更加便捷高效地进入市场供应链，形成地理标志产品的影响力和竞争力。</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三</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增强知识产权运用效能，促进知识产权价值链攀升</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8．加强区域知识产权运营体系建设。</w:t>
      </w:r>
      <w:r>
        <w:rPr>
          <w:rFonts w:hint="eastAsia" w:ascii="方正仿宋_GBK" w:hAnsi="方正仿宋_GBK" w:eastAsia="方正仿宋_GBK" w:cs="方正仿宋_GBK"/>
          <w:sz w:val="32"/>
          <w:szCs w:val="32"/>
        </w:rPr>
        <w:t>充分发挥产业知识产权联盟的作用，搭建区域知识产权交易平台、大数据平台。建立区域知识产权价值评估体系，加强知识产权金融公共服务平台作用，鼓励企事业单位开展知识产权价值评估工作，规范知识产权价值评估工作制度。发挥知识产权大数据服务平台作用，支持企业与驻区高校、科研院所开展专利开放许可、许可转让交易业务，鼓励社会资本投资、入股，开展知识产权收储、开发、组合、投资等服务，打造区域知识产权转化运用一站式服务的金融市场。加强产业知识产权运营中心建设，促进专利技术转移转化，实现专利价值最大化。</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9．加强企业知识产权转化与实施。</w:t>
      </w:r>
      <w:r>
        <w:rPr>
          <w:rFonts w:hint="eastAsia" w:ascii="方正仿宋_GBK" w:hAnsi="方正仿宋_GBK" w:eastAsia="方正仿宋_GBK" w:cs="方正仿宋_GBK"/>
          <w:sz w:val="32"/>
          <w:szCs w:val="32"/>
        </w:rPr>
        <w:t>引导企事业单位知识产权管理标准化建设，要求各类创新主体贯彻《知识产权管理规范》，力争规上工业和高新技术企业贯标全覆盖。强化企业与高校、科研院所、服务机构的对接工作，收储具有市场前景的高价值专利，形成高价值的产品投放市场。推进企业自身专利转化与实施，着力提升企业专利产品市场占有率，促进知识产权融资质押、保险、证券化业务开展，实现专利价值的最大化。组织大中型骨干企业军民双向转化信息发布与对接活动，推动一批转化项目落地实施，培育一批军民融合骨干企业，推动事关国家安全的关键技术自主研发。</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10．加强企事业单位知识产权运营。</w:t>
      </w:r>
      <w:r>
        <w:rPr>
          <w:rFonts w:hint="eastAsia" w:ascii="方正仿宋_GBK" w:hAnsi="方正仿宋_GBK" w:eastAsia="方正仿宋_GBK" w:cs="方正仿宋_GBK"/>
          <w:sz w:val="32"/>
          <w:szCs w:val="32"/>
        </w:rPr>
        <w:t>充分发挥江南大学、太湖学院、无锡职业技术学院、东南大学无锡分校等驻区高校资源集聚优势，引导高校科技创新，形成一批具有核心竞争力的知识产权，新增一批高校知识产权运营中心，实现知识产权转移转化。鼓励科研院所瞄准国际国内前沿学科，研发科技创新中具有制高点的“牵鼻子”技术，突破国家战略层面亟需解决的科学技术难题。发挥派克、信捷、卓胜微、华云、上机数控等大中型骨干企业在产业发展过程中的引领作用，围绕产业集聚，在产业知识产权转化实施过程中取得新突破。</w:t>
      </w:r>
    </w:p>
    <w:p>
      <w:pPr>
        <w:keepNext w:val="0"/>
        <w:keepLines w:val="0"/>
        <w:pageBreakBefore w:val="0"/>
        <w:widowControl/>
        <w:kinsoku w:val="0"/>
        <w:wordWrap/>
        <w:overflowPunct/>
        <w:topLinePunct w:val="0"/>
        <w:autoSpaceDE w:val="0"/>
        <w:autoSpaceDN w:val="0"/>
        <w:bidi w:val="0"/>
        <w:adjustRightInd w:val="0"/>
        <w:snapToGrid w:val="0"/>
        <w:spacing w:line="592" w:lineRule="exact"/>
        <w:jc w:val="both"/>
        <w:textAlignment w:val="baseline"/>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四</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加大知识产权保护力度，营造最优知识产权营商环境</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11．强化区域知识产权保护载体建设。</w:t>
      </w:r>
      <w:r>
        <w:rPr>
          <w:rFonts w:hint="eastAsia" w:ascii="方正仿宋_GBK" w:hAnsi="方正仿宋_GBK" w:eastAsia="方正仿宋_GBK" w:cs="方正仿宋_GBK"/>
          <w:sz w:val="32"/>
          <w:szCs w:val="32"/>
        </w:rPr>
        <w:t>强化知识产权保护工作站建设，争创国家海外知识产权纠纷应对指导工作站。建立科学决策、快速反应、协同运作的知识产权纠纷应对机制，推进区域知识产权调解工作，构建多元化知识产权纠纷解决机制。完善现有的知识产权行政、司法、仲裁、调解等渠道衔接机制，畅通与无锡知识产权法庭对接渠道，提高知识产权司法保护的威慑力。注重知识产权保护监督的机制建设，强化政府主导、行业自律、社会各界广泛参与的知识产权保护监督体系，完善重大案件披露制度，推进知识产权公开执法，形成知识产权严保护、大保护的工作态势。</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12．强化知识产权保护体系建设。</w:t>
      </w:r>
      <w:r>
        <w:rPr>
          <w:rFonts w:hint="eastAsia" w:ascii="方正仿宋_GBK" w:hAnsi="方正仿宋_GBK" w:eastAsia="方正仿宋_GBK" w:cs="方正仿宋_GBK"/>
          <w:sz w:val="32"/>
          <w:szCs w:val="32"/>
        </w:rPr>
        <w:t>建立健全知识产权行政执法体系，加强进出口环节知识产权保护，深化知识产权司法和行政执法信息公开。围绕战略性新兴产业开展商标监测预警，建立知识产权保护联络员制度。支持蠡园开发区推进省级商业秘密保护创新试点基地建设，争创江苏省商业秘密保护创新试点城市，完善商业秘密保护工作机制，畅通维权渠道，发挥商业秘密保护示范引领作用，形成一批可复制、可推广的创新试点成果，促进科技创新与经济发展深度融合。</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13．强化知识产权保护机制建设。</w:t>
      </w:r>
      <w:r>
        <w:rPr>
          <w:rFonts w:hint="eastAsia" w:ascii="方正仿宋_GBK" w:hAnsi="方正仿宋_GBK" w:eastAsia="方正仿宋_GBK" w:cs="方正仿宋_GBK"/>
          <w:sz w:val="32"/>
          <w:szCs w:val="32"/>
        </w:rPr>
        <w:t>加强知识产权司法保护，加大对恶意侵权、重复侵权等违法行为的惩戒力度，充分发挥司法审判在知识产权保护中的主导作用，提高知识产权审判专业化水平。严格知识产权行政执法，严厉打击侵犯知识产权和制售假冒伪劣商品行为，围绕重点商品、重点市场、重点领域开展正版正货承诺活动，组织企业申报知识产权电子商务平台保护项目，依法查处各类知识产权侵权案件。根据国家知识产权行政执法各项专项行动部署，结合滨湖实际，有计划、有重点的开展知识产权执法专项行动，形成知识产权同保护的工作局面。</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五</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强化知识产权服务与人才建设，打造品牌化知识产权服务高地</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14．打造品牌化的知识产权服务业集聚区。</w:t>
      </w:r>
      <w:r>
        <w:rPr>
          <w:rFonts w:hint="eastAsia" w:ascii="方正仿宋_GBK" w:hAnsi="方正仿宋_GBK" w:eastAsia="方正仿宋_GBK" w:cs="方正仿宋_GBK"/>
          <w:sz w:val="32"/>
          <w:szCs w:val="32"/>
        </w:rPr>
        <w:t>依据知识产权服务业集聚区建设要求，强化无锡市知识产权服务业集聚区功能定位，以建设“苏南自主创新示范区”“太湖湾科创带引领区”等战略机遇为契机，打造辐射江苏、惠及长三角、在全国具有影响力的知识产权高度服务集聚平台。优化知识产权公共服务载体建设，创建国家技术与创新支持中心滨湖工作站和知识产权公共服务网点，升级完善知识产权大数据服务平台、知识产权金融公共服务平台。吸引国际优质知识产权服务资源集聚，高标准融合公益服务与市场服务体系，完善知识产权服务机构评价机制。</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15．扩大知识产权高层次人才引进与培养规模。</w:t>
      </w:r>
      <w:r>
        <w:rPr>
          <w:rFonts w:hint="eastAsia" w:ascii="方正仿宋_GBK" w:hAnsi="方正仿宋_GBK" w:eastAsia="方正仿宋_GBK" w:cs="方正仿宋_GBK"/>
          <w:sz w:val="32"/>
          <w:szCs w:val="32"/>
        </w:rPr>
        <w:t>建立滨湖区知识产权高端人才数据库，对区域各类高端人才进行梳理分类，加强高层次知识产权人才动态管理，形成知识产权人才集聚机制。加大省级领军人才、知识产权高级工程师、知识产权硕士博士等知识产权高端人才引进力度，落实人才引进的相关政策，吸引海外知识产权领军人才和专业团队落地滨湖。推进与江南大学合作共建滨湖区知识产权人才实训基地，在知识产权实务、学术研究、科学技术研究领域挖掘精英人才，选送到基地进行深造</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培育一批具有国际视野和高端业务能力的知识产权高端人才。</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16．扩大知识产权宣传与培训成效。</w:t>
      </w:r>
      <w:r>
        <w:rPr>
          <w:rFonts w:hint="eastAsia" w:ascii="方正仿宋_GBK" w:hAnsi="方正仿宋_GBK" w:eastAsia="方正仿宋_GBK" w:cs="方正仿宋_GBK"/>
          <w:sz w:val="32"/>
          <w:szCs w:val="32"/>
        </w:rPr>
        <w:t>依托江南大学知识产权培训基地、“智峰云”科创大讲堂、知识产权学堂等培训资源，制定知识产权公益培训计划，注重培训基地知识产权师资队伍建设，开展社会课堂实践教育。依托无锡市知识产权服务业集聚区人才优势，实施知识产权“五进”培训计划，积极探索政府和市场相结合的人才培训模式，着力加强知识产权工程师、知识产权管理和服务人才培训，重点加大专利代理师和专利行政执法人员的培训力度，充分运用各类新闻媒体，加强知识产权宣传教育，增进保护知识产权的意识，形成有利于知识产权创造、运用、保护和管理的良好社会氛围。</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四、推进计划</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楷体_GBK" w:hAnsi="方正楷体_GBK" w:eastAsia="方正楷体_GBK" w:cs="方正楷体_GBK"/>
          <w:spacing w:val="0"/>
          <w:sz w:val="32"/>
          <w:szCs w:val="32"/>
        </w:rPr>
      </w:pPr>
      <w:r>
        <w:rPr>
          <w:rFonts w:hint="eastAsia" w:ascii="方正楷体_GBK" w:hAnsi="方正楷体_GBK" w:eastAsia="方正楷体_GBK" w:cs="方正楷体_GBK"/>
          <w:spacing w:val="0"/>
          <w:sz w:val="32"/>
          <w:szCs w:val="32"/>
        </w:rPr>
        <w:t>第一阶段</w:t>
      </w:r>
      <w:r>
        <w:rPr>
          <w:rFonts w:hint="eastAsia" w:ascii="方正楷体_GBK" w:hAnsi="方正楷体_GBK" w:eastAsia="方正楷体_GBK" w:cs="方正楷体_GBK"/>
          <w:spacing w:val="0"/>
          <w:sz w:val="32"/>
          <w:szCs w:val="32"/>
          <w:lang w:eastAsia="zh-CN"/>
        </w:rPr>
        <w:t>（</w:t>
      </w:r>
      <w:r>
        <w:rPr>
          <w:rFonts w:hint="eastAsia" w:ascii="方正楷体_GBK" w:hAnsi="方正楷体_GBK" w:eastAsia="方正楷体_GBK" w:cs="方正楷体_GBK"/>
          <w:spacing w:val="0"/>
          <w:sz w:val="32"/>
          <w:szCs w:val="32"/>
        </w:rPr>
        <w:t>宣传发动阶段</w:t>
      </w:r>
      <w:r>
        <w:rPr>
          <w:rFonts w:hint="eastAsia" w:ascii="方正楷体_GBK" w:hAnsi="方正楷体_GBK" w:eastAsia="方正楷体_GBK" w:cs="方正楷体_GBK"/>
          <w:spacing w:val="0"/>
          <w:sz w:val="32"/>
          <w:szCs w:val="32"/>
          <w:lang w:eastAsia="zh-CN"/>
        </w:rPr>
        <w:t>）</w:t>
      </w:r>
      <w:r>
        <w:rPr>
          <w:rFonts w:hint="eastAsia" w:ascii="方正楷体_GBK" w:hAnsi="方正楷体_GBK" w:eastAsia="方正楷体_GBK" w:cs="方正楷体_GBK"/>
          <w:spacing w:val="0"/>
          <w:sz w:val="32"/>
          <w:szCs w:val="32"/>
        </w:rPr>
        <w:t>：2022</w:t>
      </w:r>
      <w:r>
        <w:rPr>
          <w:rFonts w:hint="eastAsia" w:ascii="方正楷体_GBK" w:hAnsi="方正楷体_GBK" w:eastAsia="方正楷体_GBK" w:cs="方正楷体_GBK"/>
          <w:spacing w:val="0"/>
          <w:sz w:val="32"/>
          <w:szCs w:val="32"/>
          <w:lang w:val="en-US" w:eastAsia="zh-CN"/>
        </w:rPr>
        <w:t xml:space="preserve"> </w:t>
      </w:r>
      <w:r>
        <w:rPr>
          <w:rFonts w:hint="eastAsia" w:ascii="方正楷体_GBK" w:hAnsi="方正楷体_GBK" w:eastAsia="方正楷体_GBK" w:cs="方正楷体_GBK"/>
          <w:spacing w:val="0"/>
          <w:sz w:val="32"/>
          <w:szCs w:val="32"/>
        </w:rPr>
        <w:t>年</w:t>
      </w:r>
      <w:r>
        <w:rPr>
          <w:rFonts w:hint="eastAsia" w:ascii="方正楷体_GBK" w:hAnsi="方正楷体_GBK" w:eastAsia="方正楷体_GBK" w:cs="方正楷体_GBK"/>
          <w:spacing w:val="0"/>
          <w:sz w:val="32"/>
          <w:szCs w:val="32"/>
          <w:lang w:val="en-US" w:eastAsia="zh-CN"/>
        </w:rPr>
        <w:t xml:space="preserve"> </w:t>
      </w:r>
      <w:r>
        <w:rPr>
          <w:rFonts w:hint="eastAsia" w:ascii="方正楷体_GBK" w:hAnsi="方正楷体_GBK" w:eastAsia="方正楷体_GBK" w:cs="方正楷体_GBK"/>
          <w:spacing w:val="0"/>
          <w:sz w:val="32"/>
          <w:szCs w:val="32"/>
        </w:rPr>
        <w:t>10</w:t>
      </w:r>
      <w:r>
        <w:rPr>
          <w:rFonts w:hint="eastAsia" w:ascii="方正楷体_GBK" w:hAnsi="方正楷体_GBK" w:eastAsia="方正楷体_GBK" w:cs="方正楷体_GBK"/>
          <w:spacing w:val="0"/>
          <w:sz w:val="32"/>
          <w:szCs w:val="32"/>
          <w:lang w:val="en-US" w:eastAsia="zh-CN"/>
        </w:rPr>
        <w:t xml:space="preserve"> </w:t>
      </w:r>
      <w:r>
        <w:rPr>
          <w:rFonts w:hint="eastAsia" w:ascii="方正楷体_GBK" w:hAnsi="方正楷体_GBK" w:eastAsia="方正楷体_GBK" w:cs="方正楷体_GBK"/>
          <w:spacing w:val="0"/>
          <w:sz w:val="32"/>
          <w:szCs w:val="32"/>
        </w:rPr>
        <w:t>月—2023</w:t>
      </w:r>
      <w:r>
        <w:rPr>
          <w:rFonts w:hint="eastAsia" w:ascii="方正楷体_GBK" w:hAnsi="方正楷体_GBK" w:eastAsia="方正楷体_GBK" w:cs="方正楷体_GBK"/>
          <w:spacing w:val="0"/>
          <w:sz w:val="32"/>
          <w:szCs w:val="32"/>
          <w:lang w:val="en-US" w:eastAsia="zh-CN"/>
        </w:rPr>
        <w:t xml:space="preserve"> </w:t>
      </w:r>
      <w:r>
        <w:rPr>
          <w:rFonts w:hint="eastAsia" w:ascii="方正楷体_GBK" w:hAnsi="方正楷体_GBK" w:eastAsia="方正楷体_GBK" w:cs="方正楷体_GBK"/>
          <w:spacing w:val="0"/>
          <w:sz w:val="32"/>
          <w:szCs w:val="32"/>
        </w:rPr>
        <w:t>年</w:t>
      </w:r>
      <w:r>
        <w:rPr>
          <w:rFonts w:hint="eastAsia" w:ascii="方正楷体_GBK" w:hAnsi="方正楷体_GBK" w:eastAsia="方正楷体_GBK" w:cs="方正楷体_GBK"/>
          <w:spacing w:val="0"/>
          <w:sz w:val="32"/>
          <w:szCs w:val="32"/>
          <w:lang w:val="en-US" w:eastAsia="zh-CN"/>
        </w:rPr>
        <w:t xml:space="preserve"> </w:t>
      </w:r>
      <w:r>
        <w:rPr>
          <w:rFonts w:hint="eastAsia" w:ascii="方正楷体_GBK" w:hAnsi="方正楷体_GBK" w:eastAsia="方正楷体_GBK" w:cs="方正楷体_GBK"/>
          <w:spacing w:val="0"/>
          <w:sz w:val="32"/>
          <w:szCs w:val="32"/>
        </w:rPr>
        <w:t>9</w:t>
      </w:r>
      <w:r>
        <w:rPr>
          <w:rFonts w:hint="eastAsia" w:ascii="方正楷体_GBK" w:hAnsi="方正楷体_GBK" w:eastAsia="方正楷体_GBK" w:cs="方正楷体_GBK"/>
          <w:spacing w:val="0"/>
          <w:sz w:val="32"/>
          <w:szCs w:val="32"/>
          <w:lang w:val="en-US" w:eastAsia="zh-CN"/>
        </w:rPr>
        <w:t xml:space="preserve"> </w:t>
      </w:r>
      <w:r>
        <w:rPr>
          <w:rFonts w:hint="eastAsia" w:ascii="方正楷体_GBK" w:hAnsi="方正楷体_GBK" w:eastAsia="方正楷体_GBK" w:cs="方正楷体_GBK"/>
          <w:spacing w:val="0"/>
          <w:sz w:val="32"/>
          <w:szCs w:val="32"/>
        </w:rPr>
        <w:t>月</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重点任务：</w:t>
      </w:r>
      <w:r>
        <w:rPr>
          <w:rFonts w:hint="eastAsia" w:ascii="方正仿宋_GBK" w:hAnsi="方正仿宋_GBK" w:eastAsia="方正仿宋_GBK" w:cs="方正仿宋_GBK"/>
          <w:sz w:val="32"/>
          <w:szCs w:val="32"/>
        </w:rPr>
        <w:t>加强区知识产权战略实施工作领导小组协调推进知识产权强区建设工作力度；印发出台《无锡市滨湖区江苏省知识产权建设示范县域工作方案》及推进计划，强化示范创建的目标管理；结合滨湖区知识产权工作实际，修订太湖湾科创带引领区政策中的知识产权条款，着力支撑滨湖区知识产权示范建设。</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主要目标：</w:t>
      </w:r>
      <w:r>
        <w:rPr>
          <w:rFonts w:hint="eastAsia" w:ascii="方正仿宋_GBK" w:hAnsi="方正仿宋_GBK" w:eastAsia="方正仿宋_GBK" w:cs="方正仿宋_GBK"/>
          <w:sz w:val="32"/>
          <w:szCs w:val="32"/>
        </w:rPr>
        <w:t>累计拥有海外发明专利授权80件，万人高价值发明专利拥有量达22.5件；马德里国际商标有效注册量超过3件，地理标志商标注册数量达3件；万人一般作品和软件著作权登记量达50件。新增省市企业知识产权战略推进计划项目2家；组建战略新兴产业知识产权联盟1个；培育知识产权运营服务载体3家，新增知识产权质押融资、许可转让交易额达5亿元。累计省市“正版正货”示范街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行业</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3家，知识产权保护社会满意度达83分。累计招引35家知识产权服务机构，区内知识产权服务业从业人员达1000人，知识产权服务机构主营业务收入增幅超过25%，专利代理率达90%以上。</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第二阶段</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组织实施阶段</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：2023</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年</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10</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月—2024</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年</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9</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月</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重点任务：</w:t>
      </w:r>
      <w:r>
        <w:rPr>
          <w:rFonts w:hint="eastAsia" w:ascii="方正仿宋_GBK" w:hAnsi="方正仿宋_GBK" w:eastAsia="方正仿宋_GBK" w:cs="方正仿宋_GBK"/>
          <w:sz w:val="32"/>
          <w:szCs w:val="32"/>
        </w:rPr>
        <w:t>推进无锡市知识产权服务业集聚区建设，升级知识产权工作站；构建区域知识产权强保护体系和知识产权纠纷应对机制；围绕集成电路、生物医药等“543”产业发展体系，组建产业知识产权联盟，构筑产业专利池，形成“产业-导航-联盟”运营体制；实施专利商标“双轮驱动”战略，培育知识产权密集型企业；升级知识产权大数据公共服务平台、知识产权金融公共服务平台，实施专利转化专项计划，开展专利开放许可工作，发布知识产权价值评估指南；建立高价值专利培育机制，拓展高价值专利培育途径，建立以创新型企业为主体的产学研结合新模式，形成一批具有国际国内核心竞争力的高价值专利；建立滨湖区知识产权专家人才库，吸纳覆盖战略规划、维权援助、专利转化、服务企业等各个层面的专业人才。</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主要目标：</w:t>
      </w:r>
      <w:r>
        <w:rPr>
          <w:rFonts w:hint="eastAsia" w:ascii="方正仿宋_GBK" w:hAnsi="方正仿宋_GBK" w:eastAsia="方正仿宋_GBK" w:cs="方正仿宋_GBK"/>
          <w:sz w:val="32"/>
          <w:szCs w:val="32"/>
        </w:rPr>
        <w:t>累计拥有海外发明专利授权90件，万人高价值发明专利拥有量达23.5件；马德里国际商标有效注册量超过4件，地理标志商标注册数量达3件；万人一般作品和软件著作权登记量达55件。新增省市企业知识产权项目2家；组建战略新兴产业知识产权联盟2个；培育知识产权运营服务载体4家，累计知识产权质押融资、许可转让交易额达12亿元。累计省市“正版正货”示范街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行业</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3家，知识产权保护社会满意度达84分。累计招引40家知识产权服务机构，区内知识产权服务业从业人员达1100人，知识产权服务机构主营业务收入增幅超过25%，专利代理率达91%以上。</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第三阶段</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检查验收阶段</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：2024</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年</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10</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月—2025</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年</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9</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月</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重点任务：</w:t>
      </w:r>
      <w:r>
        <w:rPr>
          <w:rFonts w:hint="eastAsia" w:ascii="方正仿宋_GBK" w:hAnsi="方正仿宋_GBK" w:eastAsia="方正仿宋_GBK" w:cs="方正仿宋_GBK"/>
          <w:sz w:val="32"/>
          <w:szCs w:val="32"/>
        </w:rPr>
        <w:t>加强政策引导和扶持，持续培育示范企业、驰名商标、专利奖等；推动知识产权融资质押、证券化业务，加大对企业投保的支持力度，推动保险公司增加海外专利侵权、商标侵权责任险种，降低企业维权成本；实施地理标志培育计划，引导申报地理标志产品和计划项目；对照工作方案，逐项梳理完成情况，查漏补缺，做好示范创建的工作总结，迎接省局验收。</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主要目标：</w:t>
      </w:r>
      <w:r>
        <w:rPr>
          <w:rFonts w:hint="eastAsia" w:ascii="方正仿宋_GBK" w:hAnsi="方正仿宋_GBK" w:eastAsia="方正仿宋_GBK" w:cs="方正仿宋_GBK"/>
          <w:sz w:val="32"/>
          <w:szCs w:val="32"/>
        </w:rPr>
        <w:t>累计拥有海外发明专利授权100件，万人高价值发明专利拥有量达25件；马德里国际商标有效注册量超过5件，地理标志商标注册数量达4件；万人一般作品和软件著作权登记量达60件。新增省市企业知识产权项目2家；组建战略新兴产业知识产权联盟3个；培育知识产权运营服务载体累计5家，累计知识产权质押融资、许可转让交易额达18亿元。累计省市“正版正货”示范街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行业</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3家以上，知识产权保护社会满意度达85分以上。集聚45家知识产权服务机构，培育龙头型综合性知识产权服务机构2家，区内知识产权服务业从业人员达1200人，知识产权服务机构主营业务收入增幅超过25%，专利代理率达92%以上。</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五、保障措施</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一</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加强组织领导</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加强区知识产权战略实施工作领导小组协调推进知识产权强区建设工作力度。将知识产权建设示范创建工作纳入区委区政府重要议事日程，统筹协调知识产权行政管理和司法部门等各方力量，加强全区知识产权的宏观管理。建立重点任务和专项工程协调督导机制，提升执行力，保证各项工作得到落实。</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二</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加大经费投入</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持续加大知识产权专项资金投入，优化资金的使用方向和程序，加强项目前期研究、布局谋划、专家论证和入库管理工作，科学编制年度知识产权预算；提高资金使用绩效考核标准，加强绩效评价、审计监督、支出进度考核。</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三</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完善激励机制</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制定创建方案任务分解落实方案和相关实施办法，出台年度推进计划，明确任务分工，建立关键指标监测机制、评估体系和考核制度，纳入到区级机关和各板块的高质量发展考核、国民经济和社会发展考核等各项内容，建立表彰、激励、约谈等机制，及时总结、推广先进经验做法，研究改进创建实施工作。</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四</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营造文化氛围</w:t>
      </w:r>
    </w:p>
    <w:p>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强化新闻媒体舆论导向的作用，大力宣传“尊重知识、崇尚创新、诚信守法”的知识产权文化，建立政府主导、新闻媒体支撑、社会公众广泛参与的知识产权宣传工作体系，促进知识产权宣传进社区、进学校、进企业、进农村，在全社会形成弘扬“创新诚信光荣、假冒欺骗可耻”的文化氛围。</w:t>
      </w:r>
    </w:p>
    <w:p>
      <w:pPr>
        <w:keepNext w:val="0"/>
        <w:keepLines w:val="0"/>
        <w:pageBreakBefore w:val="0"/>
        <w:widowControl/>
        <w:kinsoku w:val="0"/>
        <w:wordWrap/>
        <w:overflowPunct/>
        <w:topLinePunct w:val="0"/>
        <w:autoSpaceDE w:val="0"/>
        <w:autoSpaceDN w:val="0"/>
        <w:bidi w:val="0"/>
        <w:adjustRightInd w:val="0"/>
        <w:snapToGrid w:val="0"/>
        <w:spacing w:line="592" w:lineRule="exact"/>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line="592" w:lineRule="exact"/>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line="592" w:lineRule="exact"/>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line="592" w:lineRule="exact"/>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line="592" w:lineRule="exact"/>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line="592" w:lineRule="exact"/>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line="592" w:lineRule="exact"/>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line="592" w:lineRule="exact"/>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line="592" w:lineRule="exact"/>
        <w:jc w:val="both"/>
        <w:textAlignment w:val="baseline"/>
      </w:pPr>
    </w:p>
    <w:p>
      <w:pPr>
        <w:keepNext w:val="0"/>
        <w:keepLines w:val="0"/>
        <w:pageBreakBefore w:val="0"/>
        <w:widowControl/>
        <w:kinsoku w:val="0"/>
        <w:wordWrap/>
        <w:overflowPunct/>
        <w:topLinePunct w:val="0"/>
        <w:autoSpaceDE w:val="0"/>
        <w:autoSpaceDN w:val="0"/>
        <w:bidi w:val="0"/>
        <w:adjustRightInd w:val="0"/>
        <w:snapToGrid w:val="0"/>
        <w:spacing w:line="592" w:lineRule="exact"/>
        <w:jc w:val="both"/>
        <w:textAlignment w:val="baseline"/>
      </w:pPr>
    </w:p>
    <w:sectPr>
      <w:footerReference r:id="rId5" w:type="default"/>
      <w:footerReference r:id="rId6" w:type="even"/>
      <w:pgSz w:w="11901" w:h="16821"/>
      <w:pgMar w:top="1928" w:right="1474" w:bottom="1757" w:left="1587" w:header="850" w:footer="1474" w:gutter="0"/>
      <w:paperSrc/>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黑体_GBK">
    <w:panose1 w:val="03000509000000000000"/>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幼圆">
    <w:panose1 w:val="02010509060101010101"/>
    <w:charset w:val="86"/>
    <w:family w:val="auto"/>
    <w:pitch w:val="default"/>
    <w:sig w:usb0="00000001" w:usb1="080E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阳手写">
    <w:panose1 w:val="02000500000000000000"/>
    <w:charset w:val="86"/>
    <w:family w:val="auto"/>
    <w:pitch w:val="default"/>
    <w:sig w:usb0="00000283" w:usb1="180F0C10" w:usb2="00000012" w:usb3="00000000" w:csb0="00040001" w:csb1="00000000"/>
  </w:font>
  <w:font w:name="华文隶书">
    <w:panose1 w:val="02010800040101010101"/>
    <w:charset w:val="86"/>
    <w:family w:val="auto"/>
    <w:pitch w:val="default"/>
    <w:sig w:usb0="00000001" w:usb1="080F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pt;margin-top:0pt;height:144pt;width:144p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documentProtection w:enforcement="0"/>
  <w:evenAndOddHeaders w:val="1"/>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GQ0NGQ1MjE5ZWE4NjE3ZGI2YjNiOWM2MDMxYmViZDMifQ=="/>
  </w:docVars>
  <w:rsids>
    <w:rsidRoot w:val="00000000"/>
    <w:rsid w:val="653E52F9"/>
    <w:rsid w:val="726F19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8198</Words>
  <Characters>8333</Characters>
  <TotalTime>11</TotalTime>
  <ScaleCrop>false</ScaleCrop>
  <LinksUpToDate>false</LinksUpToDate>
  <CharactersWithSpaces>9204</CharactersWithSpaces>
  <Application>WPS Office_11.1.0.14036_F1E327BC-269C-435d-A152-05C5408002CA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2023-04-19T01:09:35Z</dcterms:created>
  <dc:creator>Admin</dc:creator>
  <cp:lastModifiedBy>李红</cp:lastModifiedBy>
  <dcterms:modified xsi:type="dcterms:W3CDTF">2023-04-19T01:53:37Z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2023-04-19T09:09:34Z</vt:filetime>
  </property>
  <property fmtid="{D5CDD505-2E9C-101B-9397-08002B2CF9AE}" pid="4" name="KSOProductBuildVer">
    <vt:lpwstr>2052-11.1.0.14036</vt:lpwstr>
  </property>
  <property fmtid="{D5CDD505-2E9C-101B-9397-08002B2CF9AE}" pid="5" name="ICV">
    <vt:lpwstr>6C8A08812A894960B3FAA6C18C8FE42B_13</vt:lpwstr>
  </property>
</Properties>
</file>