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宋体"/>
          <w:sz w:val="44"/>
          <w:szCs w:val="44"/>
          <w:lang w:val="en-US" w:eastAsia="zh-CN"/>
        </w:rPr>
        <w:t>2023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年城市管理工作计划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方正楷体_GBK" w:cs="黑体"/>
          <w:b w:val="0"/>
          <w:bCs w:val="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  <w:t>一、突出机制引领，推动城市管理“一委统管”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一是实施精治举措。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充分发挥区城管委办公室高位统筹、综合协调作用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理出城市管理重难点问题，锁定问题多发道路、区域，由区领导分别挂钩实施督导，各板块班子成员挂钩各管理单元，实施问题“灭点清零”，带动“最干净街道”总体成绩整体提升。深化实施城管委办公室实体化运作，推动各板块分别成立镇（街道）城管委办公室，落实镇级层面城市管理问题综合治理，完善城管委工作管理体系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二是打通多向互联。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开展横向确权，针对权责不清、边界不明等问题建立确权会商机制，由区政府办牵头城管委成员单位每月召开专题会议，研讨解决难点问题，明确飞地管理职责，切实解决一批处置迟缓、久拖不决等历史遗留问题，提升市级交办问题的整改效率。开展纵向互学，有计划的进行业务轮训，围绕住区环境、市容管理等工作指标，对各街道（镇）分管领导、社区书记进行重点培训，实现板块内部互学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加强街道、社区沟通交流，推广先进兄弟城区优秀经验做法，推动区各级相关人员熟悉规则、明确工作重点、提高业务能力。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三是优化考核机制。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围绕最干净城市指标，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推行季度工作通报，对优秀、良好管理单元奖补额度，分档次予以政策、资金倾斜。推行领导约谈机制，对连续2个月排名全市倒数第一的街道，由区城管委办公室主任约谈街道分管负责人，对连续3个月排名全市倒数第一的街道由区城管委主任（区长）约谈街道行政负责人。推行板块奖惩措施，各镇（街道）同步将最干净街道创建成绩与社区、管理人员绩效考评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相挂钩，对低于街道（全区）平均成绩的社区进行约谈，对排名前10名的予以嘉奖，实现奖优罚劣。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  <w:t>二、突出攻坚实干，推动智慧赋能“一网统管”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一是夯实精细化数据库。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积极对接市级城市运行管理服务平台建设，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扩大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区级“智慧城管”平台硬件扩容成效，实施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区级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城市运行管理服务数据底座建设三年计划，逐步完善打造“全国最干净城区”、城市管理精细化等工作数据标准和资源目录，加快融入城市运行“一网统管”数据体系。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二是优化智慧停车网络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。聚焦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中医院周边停车难、行车堵问题，实施中南西路拓宽改造工程，优化交通组织设计，推行周边停车场库错时共享。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加快推进区级“智慧停车”平台建设，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推进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ETC收费试点停车场7个，排摸录入停车动态数据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2.1万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个，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推动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市、区两级平台融合组网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加快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完善区级停车管理组织架构，构建全区政府性投资停车资源国有企业统一经营管理模式，推进公共停车资源“三统一”管理。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加快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提高存量停车设施使用效率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和服务水平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新增公共停车泊位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1050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个，增设“分时停车”停车泊位道路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，实施共享停车场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43家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三是推进市容特色管理。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依托“市容一点通”工作平台，规范用好背街小巷品质提升、特色街区改造提升、新（改）建公共座椅、户外广告和店招标牌设施管理、市容环卫高质量履约、疏导点管理6大模块，推动工作进度“一目了然”。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依托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“精网微格”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“微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路长制”等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手段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充分发挥镇（街道）各部门、社</w:t>
      </w:r>
      <w:r>
        <w:rPr>
          <w:rFonts w:hint="eastAsia" w:ascii="Times New Roman" w:hAnsi="Times New Roman" w:eastAsia="方正仿宋_GBK" w:cs="宋体"/>
          <w:sz w:val="32"/>
          <w:szCs w:val="32"/>
        </w:rPr>
        <w:t>区党组织、网格员和志愿者作用</w:t>
      </w:r>
      <w:r>
        <w:rPr>
          <w:rFonts w:hint="eastAsia" w:ascii="Times New Roman" w:hAnsi="Times New Roman" w:eastAsia="方正仿宋_GBK" w:cs="宋体"/>
          <w:sz w:val="32"/>
          <w:szCs w:val="32"/>
          <w:lang w:eastAsia="zh-CN"/>
        </w:rPr>
        <w:t>，探索实施市容环卫责任制“红黑榜”考核，通过正向激励和反向惩戒同步发力，加快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形成群众积极上报、城管主动发现的互动处置模式，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推动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源头治理。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  <w:t>三、突出品质优势，推动环境卫生提档升级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一是抓好垃圾分类长效。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巩固生活垃圾“四分类”定时定点投放小区管理成效，</w:t>
      </w:r>
      <w:r>
        <w:rPr>
          <w:rFonts w:hint="eastAsia" w:ascii="Times New Roman" w:hAnsi="Times New Roman" w:eastAsia="方正仿宋_GBK" w:cs="黑体"/>
          <w:b w:val="0"/>
          <w:bCs w:val="0"/>
          <w:sz w:val="32"/>
          <w:szCs w:val="32"/>
        </w:rPr>
        <w:t>开展“宣教、执法”双推进，提高垃圾分类准确率。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积极</w:t>
      </w:r>
      <w:r>
        <w:rPr>
          <w:rFonts w:hint="eastAsia" w:ascii="Times New Roman" w:hAnsi="Times New Roman" w:eastAsia="方正仿宋_GBK" w:cs="黑体"/>
          <w:b w:val="0"/>
          <w:bCs w:val="0"/>
          <w:sz w:val="32"/>
          <w:szCs w:val="32"/>
          <w:lang w:eastAsia="zh-CN"/>
        </w:rPr>
        <w:t>引入国有资本公司参与，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探索建立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垃圾分类智能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箱体运营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系统，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扩大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高清可视探头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覆盖面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逐步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新能源设备占比。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二是抓好“精微保洁”常态。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全面实施环卫一体化保洁，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健全完善区、镇（街道）、第三方等多方主体联合考核机制，强化考核结果运用，逐步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消除责任“飞地”。深化道路深度保洁和巡回保洁，打造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个“席地而坐”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城市客厅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示范区，推进精细保洁向精微保洁转变。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三是抓好公厕精管长治。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实施公厕新（改）建工程，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力争实现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一类公厕占比20%以上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创新实施“互联网＋公厕管理”，探索建设厕评在线系统，着力提升全区168个环卫公厕管养水平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推进公厕智能化打造、智慧化管理、数字化监督水平。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  <w:t>四、突出精管善治，推动群众服务“零距离”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一是持续优化管理手段。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充分发挥湖滨商业街“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外摆摊位”示范效应，围绕各类商业综合体、大型超市等市场主体企业，实施快递物流行业包裹收发“包容监管”“包容审慎执法”等8项支持举措，高标准创建一批户外广告和店招标牌设施设置规范片区，更大激发市场活力、群众消费力和社会创造力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二是持续深化精微治理。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有力增强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“城管进社区”工作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成效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打造“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城管</w:t>
      </w:r>
      <w:r>
        <w:rPr>
          <w:rFonts w:ascii="Times New Roman" w:hAnsi="Times New Roman" w:eastAsia="方正仿宋_GBK" w:cs="方正仿宋_GBK"/>
          <w:sz w:val="32"/>
          <w:szCs w:val="32"/>
        </w:rPr>
        <w:t>-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街道-社区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”三级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互通共联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畅通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“横向派送+逐级上报”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多维度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衔接，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实施“基层吹哨，部门报到”工作机制，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延伸城市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管理触角，让群众办事“足不出户”。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三是持续提升监督效用。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充分发动市民群众力量，持续开展城市管理问题“随手拍”活动，鼓励广大市民群众化身城市啄木鸟，主动参与城市管理；结合民生留言板、微幸福等窗口渠道，及时解决一批群众关注热点、难点问题。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  <w:t>五、突出湖湾形象，推动区域风貌“城景共融”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一是精心打造道路街巷特色化。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全面推动惠河路等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4条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城市市政设施大中修及绿化提升改造工作，实施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条前期基础较差的背街小巷改造出新，围绕道板更新、立面出新、停车泊位优化等内容，提升道路景观颜值。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二是精心扮靓城市空间品质化。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加快城市架空线专项整治工作落地，完成山水西路、和风路等8条道路7.23千米架空线入地，全域实施违法广告有序“销号”计划，开展“火树银花”亮化提升项目，实施夜间亮化设施巡查管理，确保“亮灯率”。充分应用《无锡市城市家具导则》，以梅梁路、璨园为示范点位，新增、提升公共休憩座椅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250个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，合理增设垃圾箱、饮水器等便民设施，实行箱柜美化包装，专项整治更新标识标牌，新建增补市政消火栓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150个，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打造更具区域特色的城市家具实地应用场景。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eastAsia="zh-CN"/>
        </w:rPr>
        <w:t>三是精心塑造绿色景观美感化。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实施添绿增景工程，完成新增绿地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35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万平方米，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9处桥下空间利用改造，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新（改）建各类公园游园15个，完成立体绿化示范项目3个，始终保持建成区绿化覆盖率、人均公园绿地面积全市第一。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lang w:val="en-US" w:eastAsia="zh-CN"/>
        </w:rPr>
        <w:t>六、突出源头治理，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lang w:eastAsia="zh-CN"/>
        </w:rPr>
        <w:t>推动安全防线扎牢织密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/>
        <w:spacing w:after="0" w:afterLines="0"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1.加强组织领导，完善监管体系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制定《滨湖区城镇燃气安全管理四方责任》《滨湖区城镇燃气安全监管“四化”清单》，全面压实燃气安全部门监管责任、属地监管责任、企业主体责任和用户使用责任。按照“精网微格”要求配齐燃气安全监管队伍，推进区城市管理安全生产专委会办公室和镇（街道）燃气管理办公室实体化运作，配强区燃气专职管理人员、镇（街道）专管员、社区安全员和网格员，将燃气安全监管责任落实到每个社区、小区，细化到每栋楼宇、每家商铺。将燃气安全纳入滨湖区城乡规划建设目标任务，定期召开燃气安全工作会议，督促各方严格履行四方责任。建立问题通报、信息抄报和联合执法机制，形成燃气安全治理工作合力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/>
        <w:spacing w:after="0" w:afterLines="0"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2.聚焦重点工作，实施整治攻坚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</w:t>
      </w: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一是持续推进“管阀”安装改造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。加快管阀两件套安装进度，确保7.19万居民用户应装尽装。对瓶装液化气管阀两件套安装进行回头看检查，对装而不用的予以停气。</w:t>
      </w: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二是持续推进非居民用户报警切断装置安装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。会同相关部门督促非居民用户安装燃气泄漏报警器和联锁切断装置，同步接入信息监管平台。督促餐饮场所定期开展燃气安全自查，对不按照要求安装报警器和切断阀的，予以停气处罚。</w:t>
      </w: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三是持续推进“瓶改管”、“瓶改电”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联合华润燃气、电力部门实施管道燃气入户和电力扩容，推进“瓶改管”“瓶改电”工程，压降瓶装液化石油气总量。制定财政补贴政策，对餐饮场所实施“瓶改管”“瓶改电”的商户予以改造补贴，对更换灶具的给予置换补贴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/>
        <w:spacing w:after="0" w:afterLines="0"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3.强化执法整治，落实长效管理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</w:t>
      </w: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一是加强燃气用户动态管理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。用好无锡市智慧燃气监管云平台，督促燃气专管员、网格员定期排查燃气使用情况，掌握辖区内燃气用户底数。</w:t>
      </w: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二是加强全链条执法整治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。严格规范“配送、销售、储存、运输、充装”等重要环节，严厉打击黑气窝点，严格查处违规送气、违法用气等行为。</w:t>
      </w: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三是严控动土施工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。聚焦老旧小区改造、道路开挖等项目，对违反相关规定挖断燃气管道的行为，加大执法惩处力度。对野蛮施工严重破坏燃气设施构成犯罪的，依法移交公安机关查处。</w:t>
      </w: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四是实施整治回头看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。对地下车库、底层住改商、高层楼宇、群租房等场所瓶装液化气使用情况进行“回头看”检查，严禁瓶装液化气死灰复燃。</w:t>
      </w:r>
      <w:r>
        <w:rPr>
          <w:rFonts w:hint="eastAsia" w:ascii="Times New Roman" w:hAnsi="Times New Roman" w:eastAsia="方正仿宋_GBK"/>
          <w:b/>
          <w:bCs/>
          <w:sz w:val="32"/>
          <w:lang w:val="en-US" w:eastAsia="zh-CN"/>
        </w:rPr>
        <w:t>五是推进农村看护房整治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。对辖区使用瓶装气的农村看护房进行宣传告知，并牵头开展联合执法和整治取缔专项行动。</w:t>
      </w:r>
    </w:p>
    <w:p>
      <w:pPr>
        <w:spacing w:line="579" w:lineRule="exact"/>
        <w:ind w:right="-486" w:rightChars="-154" w:firstLine="276" w:firstLineChars="100"/>
        <w:rPr>
          <w:rFonts w:hint="eastAsia" w:ascii="time" w:hAnsi="time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 xml:space="preserve"> </w:t>
      </w:r>
      <w:r>
        <w:rPr>
          <w:rFonts w:hint="eastAsia" w:ascii="time" w:hAnsi="time" w:eastAsia="方正仿宋_GBK"/>
          <w:sz w:val="28"/>
          <w:szCs w:val="28"/>
        </w:rPr>
        <w:t xml:space="preserve"> </w:t>
      </w:r>
      <w:r>
        <w:rPr>
          <w:rFonts w:ascii="time" w:hAnsi="time" w:eastAsia="方正仿宋_GBK"/>
          <w:sz w:val="28"/>
          <w:szCs w:val="28"/>
        </w:rPr>
        <w:t xml:space="preserve"> </w:t>
      </w:r>
      <w:r>
        <w:rPr>
          <w:rFonts w:hint="eastAsia" w:ascii="time" w:hAnsi="time" w:eastAsia="方正仿宋_GBK"/>
          <w:sz w:val="28"/>
          <w:szCs w:val="28"/>
        </w:rPr>
        <w:t xml:space="preserve"> 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eastAsia="方正仿宋_GBK"/>
      </w:rPr>
      <w:id w:val="-1655600673"/>
    </w:sdtPr>
    <w:sdtEndPr>
      <w:rPr>
        <w:rFonts w:ascii="Times New Roman" w:hAnsi="Times New Roman" w:eastAsia="方正仿宋_GBK"/>
        <w:sz w:val="28"/>
      </w:rPr>
    </w:sdtEndPr>
    <w:sdtContent>
      <w:p>
        <w:pPr>
          <w:pStyle w:val="9"/>
          <w:rPr>
            <w:rFonts w:ascii="Times New Roman" w:hAnsi="Times New Roman" w:eastAsia="方正仿宋_GBK"/>
            <w:sz w:val="28"/>
          </w:rPr>
        </w:pPr>
        <w:r>
          <w:rPr>
            <w:rFonts w:hint="eastAsia" w:ascii="Times New Roman" w:eastAsia="方正仿宋_GBK"/>
          </w:rPr>
          <w:t>　　　　　　　　　　　　　　　　　　　　　　　　　　　　　　　　　　　　　　　　　</w:t>
        </w:r>
        <w:r>
          <w:rPr>
            <w:rFonts w:ascii="Times New Roman" w:eastAsia="方正仿宋_GBK"/>
          </w:rPr>
          <w:t xml:space="preserve">     </w:t>
        </w:r>
        <w:r>
          <w:rPr>
            <w:rFonts w:hint="eastAsia" w:ascii="Times New Roman" w:hAnsi="Times New Roman" w:eastAsia="方正仿宋_GBK"/>
            <w:sz w:val="28"/>
          </w:rPr>
          <w:t>―</w:t>
        </w:r>
        <w:r>
          <w:rPr>
            <w:rFonts w:ascii="Times New Roman" w:hAnsi="Times New Roman" w:eastAsia="方正仿宋_GBK"/>
            <w:sz w:val="28"/>
          </w:rPr>
          <w:fldChar w:fldCharType="begin"/>
        </w:r>
        <w:r>
          <w:rPr>
            <w:rFonts w:ascii="Times New Roman" w:hAnsi="Times New Roman" w:eastAsia="方正仿宋_GBK"/>
            <w:sz w:val="28"/>
          </w:rPr>
          <w:instrText xml:space="preserve">PAGE   \* MERGEFORMAT</w:instrText>
        </w:r>
        <w:r>
          <w:rPr>
            <w:rFonts w:ascii="Times New Roman" w:hAnsi="Times New Roman" w:eastAsia="方正仿宋_GBK"/>
            <w:sz w:val="28"/>
          </w:rPr>
          <w:fldChar w:fldCharType="separate"/>
        </w:r>
        <w:r>
          <w:rPr>
            <w:rFonts w:ascii="Times New Roman" w:hAnsi="Times New Roman" w:eastAsia="方正仿宋_GBK"/>
            <w:sz w:val="28"/>
            <w:lang w:val="zh-CN"/>
          </w:rPr>
          <w:t>5</w:t>
        </w:r>
        <w:r>
          <w:rPr>
            <w:rFonts w:ascii="Times New Roman" w:hAnsi="Times New Roman" w:eastAsia="方正仿宋_GBK"/>
            <w:sz w:val="28"/>
          </w:rPr>
          <w:fldChar w:fldCharType="end"/>
        </w:r>
        <w:r>
          <w:rPr>
            <w:rFonts w:hint="eastAsia" w:ascii="Times New Roman" w:hAnsi="Times New Roman" w:eastAsia="方正仿宋_GBK"/>
            <w:sz w:val="28"/>
          </w:rPr>
          <w:t xml:space="preserve">― </w:t>
        </w:r>
      </w:p>
    </w:sdtContent>
  </w:sdt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" w:hAnsi="time" w:eastAsia="方正仿宋_GBK"/>
      </w:rPr>
      <w:id w:val="-1615213711"/>
    </w:sdtPr>
    <w:sdtEndPr>
      <w:rPr>
        <w:rFonts w:ascii="time" w:hAnsi="time" w:eastAsia="方正仿宋_GBK"/>
        <w:sz w:val="28"/>
      </w:rPr>
    </w:sdtEndPr>
    <w:sdtContent>
      <w:p>
        <w:pPr>
          <w:pStyle w:val="9"/>
          <w:rPr>
            <w:rFonts w:hint="eastAsia" w:ascii="time" w:hAnsi="time" w:eastAsia="方正仿宋_GBK"/>
            <w:sz w:val="28"/>
          </w:rPr>
        </w:pPr>
        <w:r>
          <w:rPr>
            <w:rFonts w:hint="eastAsia" w:ascii="time" w:eastAsia="方正仿宋_GBK"/>
          </w:rPr>
          <w:t>　　</w:t>
        </w:r>
        <w:r>
          <w:rPr>
            <w:rFonts w:hint="eastAsia" w:ascii="time" w:hAnsi="time" w:eastAsia="方正仿宋_GBK"/>
            <w:sz w:val="28"/>
          </w:rPr>
          <w:t>―</w:t>
        </w:r>
        <w:r>
          <w:rPr>
            <w:rFonts w:ascii="time" w:hAnsi="time" w:eastAsia="方正仿宋_GBK"/>
            <w:sz w:val="28"/>
          </w:rPr>
          <w:fldChar w:fldCharType="begin"/>
        </w:r>
        <w:r>
          <w:rPr>
            <w:rFonts w:ascii="time" w:hAnsi="time" w:eastAsia="方正仿宋_GBK"/>
            <w:sz w:val="28"/>
          </w:rPr>
          <w:instrText xml:space="preserve">PAGE   \* MERGEFORMAT</w:instrText>
        </w:r>
        <w:r>
          <w:rPr>
            <w:rFonts w:ascii="time" w:hAnsi="time" w:eastAsia="方正仿宋_GBK"/>
            <w:sz w:val="28"/>
          </w:rPr>
          <w:fldChar w:fldCharType="separate"/>
        </w:r>
        <w:r>
          <w:rPr>
            <w:rFonts w:hint="eastAsia" w:ascii="time" w:hAnsi="time" w:eastAsia="方正仿宋_GBK"/>
            <w:sz w:val="28"/>
            <w:lang w:val="zh-CN"/>
          </w:rPr>
          <w:t>6</w:t>
        </w:r>
        <w:r>
          <w:rPr>
            <w:rFonts w:ascii="time" w:hAnsi="time" w:eastAsia="方正仿宋_GBK"/>
            <w:sz w:val="28"/>
          </w:rPr>
          <w:fldChar w:fldCharType="end"/>
        </w:r>
        <w:r>
          <w:rPr>
            <w:rFonts w:hint="eastAsia" w:ascii="time" w:hAnsi="time" w:eastAsia="方正仿宋_GBK"/>
            <w:sz w:val="28"/>
          </w:rPr>
          <w:t>―</w:t>
        </w:r>
      </w:p>
    </w:sdtContent>
  </w:sdt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xYjIwNGE1ZjExMTFhOGI0MGFlYTA5Zjg3M2U1ODYifQ=="/>
  </w:docVars>
  <w:rsids>
    <w:rsidRoot w:val="00172A27"/>
    <w:rsid w:val="00003239"/>
    <w:rsid w:val="00006E2E"/>
    <w:rsid w:val="00007DAB"/>
    <w:rsid w:val="00021CF2"/>
    <w:rsid w:val="000318F1"/>
    <w:rsid w:val="00043C2B"/>
    <w:rsid w:val="00050178"/>
    <w:rsid w:val="00070F6D"/>
    <w:rsid w:val="00097444"/>
    <w:rsid w:val="00097DE3"/>
    <w:rsid w:val="000B5113"/>
    <w:rsid w:val="000D0F11"/>
    <w:rsid w:val="000D2A18"/>
    <w:rsid w:val="000D2D79"/>
    <w:rsid w:val="000E3E46"/>
    <w:rsid w:val="00132467"/>
    <w:rsid w:val="00134C0B"/>
    <w:rsid w:val="0014228A"/>
    <w:rsid w:val="001528A4"/>
    <w:rsid w:val="00165A46"/>
    <w:rsid w:val="001B14E3"/>
    <w:rsid w:val="001C290D"/>
    <w:rsid w:val="001E1047"/>
    <w:rsid w:val="001E765E"/>
    <w:rsid w:val="00205915"/>
    <w:rsid w:val="0021388F"/>
    <w:rsid w:val="00223C96"/>
    <w:rsid w:val="00225906"/>
    <w:rsid w:val="00230AA6"/>
    <w:rsid w:val="002414BB"/>
    <w:rsid w:val="00253C01"/>
    <w:rsid w:val="00264204"/>
    <w:rsid w:val="0027661A"/>
    <w:rsid w:val="00277C65"/>
    <w:rsid w:val="00297EE4"/>
    <w:rsid w:val="002B0DE5"/>
    <w:rsid w:val="002E1044"/>
    <w:rsid w:val="002E3C21"/>
    <w:rsid w:val="002F2C18"/>
    <w:rsid w:val="00313927"/>
    <w:rsid w:val="003252A5"/>
    <w:rsid w:val="00336832"/>
    <w:rsid w:val="00342467"/>
    <w:rsid w:val="0034345B"/>
    <w:rsid w:val="00376F9C"/>
    <w:rsid w:val="003825C0"/>
    <w:rsid w:val="0039149E"/>
    <w:rsid w:val="00393E8A"/>
    <w:rsid w:val="003A0DAD"/>
    <w:rsid w:val="003B1136"/>
    <w:rsid w:val="003B1765"/>
    <w:rsid w:val="003D2783"/>
    <w:rsid w:val="003E14BE"/>
    <w:rsid w:val="003E328E"/>
    <w:rsid w:val="003E6364"/>
    <w:rsid w:val="003F2647"/>
    <w:rsid w:val="004052F9"/>
    <w:rsid w:val="00405ABE"/>
    <w:rsid w:val="00405D93"/>
    <w:rsid w:val="00411CBF"/>
    <w:rsid w:val="0041343B"/>
    <w:rsid w:val="00441AF1"/>
    <w:rsid w:val="0044793D"/>
    <w:rsid w:val="0045775D"/>
    <w:rsid w:val="00461A37"/>
    <w:rsid w:val="00461AD7"/>
    <w:rsid w:val="00482350"/>
    <w:rsid w:val="00487787"/>
    <w:rsid w:val="004903B0"/>
    <w:rsid w:val="004A0567"/>
    <w:rsid w:val="004B2A68"/>
    <w:rsid w:val="004B5189"/>
    <w:rsid w:val="004C306F"/>
    <w:rsid w:val="004D6CB0"/>
    <w:rsid w:val="004F079E"/>
    <w:rsid w:val="0051325E"/>
    <w:rsid w:val="00515E4C"/>
    <w:rsid w:val="00521A86"/>
    <w:rsid w:val="00534F4E"/>
    <w:rsid w:val="00552220"/>
    <w:rsid w:val="005570E3"/>
    <w:rsid w:val="00565C22"/>
    <w:rsid w:val="00570747"/>
    <w:rsid w:val="00574EA8"/>
    <w:rsid w:val="00585800"/>
    <w:rsid w:val="00594739"/>
    <w:rsid w:val="00595024"/>
    <w:rsid w:val="005A17AF"/>
    <w:rsid w:val="005B49EC"/>
    <w:rsid w:val="005B72CF"/>
    <w:rsid w:val="005D04C6"/>
    <w:rsid w:val="005E729D"/>
    <w:rsid w:val="00601D08"/>
    <w:rsid w:val="00620F93"/>
    <w:rsid w:val="00624FEF"/>
    <w:rsid w:val="00635BFA"/>
    <w:rsid w:val="00645349"/>
    <w:rsid w:val="00663EA8"/>
    <w:rsid w:val="00681341"/>
    <w:rsid w:val="0068464B"/>
    <w:rsid w:val="006A112A"/>
    <w:rsid w:val="006A45FA"/>
    <w:rsid w:val="006B66F6"/>
    <w:rsid w:val="006C7A68"/>
    <w:rsid w:val="006E7005"/>
    <w:rsid w:val="006E7116"/>
    <w:rsid w:val="006F0827"/>
    <w:rsid w:val="0070600B"/>
    <w:rsid w:val="0071310C"/>
    <w:rsid w:val="00726692"/>
    <w:rsid w:val="00743498"/>
    <w:rsid w:val="00767D93"/>
    <w:rsid w:val="00796643"/>
    <w:rsid w:val="007C2B0B"/>
    <w:rsid w:val="007E4CFD"/>
    <w:rsid w:val="007E52FA"/>
    <w:rsid w:val="007E6A79"/>
    <w:rsid w:val="007E6B86"/>
    <w:rsid w:val="00801A07"/>
    <w:rsid w:val="008051FA"/>
    <w:rsid w:val="00807A9E"/>
    <w:rsid w:val="00833737"/>
    <w:rsid w:val="008435A9"/>
    <w:rsid w:val="00847236"/>
    <w:rsid w:val="00867423"/>
    <w:rsid w:val="00877553"/>
    <w:rsid w:val="00893BB1"/>
    <w:rsid w:val="0089510E"/>
    <w:rsid w:val="008B0FF9"/>
    <w:rsid w:val="008D66D6"/>
    <w:rsid w:val="008E3302"/>
    <w:rsid w:val="008F69FC"/>
    <w:rsid w:val="00902079"/>
    <w:rsid w:val="00904D14"/>
    <w:rsid w:val="0091562B"/>
    <w:rsid w:val="009166B9"/>
    <w:rsid w:val="0092124E"/>
    <w:rsid w:val="00927BB4"/>
    <w:rsid w:val="00944552"/>
    <w:rsid w:val="00946D11"/>
    <w:rsid w:val="009526C1"/>
    <w:rsid w:val="00954367"/>
    <w:rsid w:val="0096660E"/>
    <w:rsid w:val="0097040E"/>
    <w:rsid w:val="00972658"/>
    <w:rsid w:val="0097689E"/>
    <w:rsid w:val="0098178B"/>
    <w:rsid w:val="009A4074"/>
    <w:rsid w:val="009B7522"/>
    <w:rsid w:val="009C43C0"/>
    <w:rsid w:val="009C4443"/>
    <w:rsid w:val="009E0A40"/>
    <w:rsid w:val="009F7871"/>
    <w:rsid w:val="00A15970"/>
    <w:rsid w:val="00A3303D"/>
    <w:rsid w:val="00A55E82"/>
    <w:rsid w:val="00A565B5"/>
    <w:rsid w:val="00A6171B"/>
    <w:rsid w:val="00A620AA"/>
    <w:rsid w:val="00A66049"/>
    <w:rsid w:val="00A67CBB"/>
    <w:rsid w:val="00AA47BB"/>
    <w:rsid w:val="00AB050B"/>
    <w:rsid w:val="00AC1576"/>
    <w:rsid w:val="00AD4471"/>
    <w:rsid w:val="00AD589B"/>
    <w:rsid w:val="00AE22B3"/>
    <w:rsid w:val="00AF5DB0"/>
    <w:rsid w:val="00B01C87"/>
    <w:rsid w:val="00B04C9C"/>
    <w:rsid w:val="00B12784"/>
    <w:rsid w:val="00B16ABA"/>
    <w:rsid w:val="00B27BCB"/>
    <w:rsid w:val="00B30DB8"/>
    <w:rsid w:val="00B32EAA"/>
    <w:rsid w:val="00B62F38"/>
    <w:rsid w:val="00B822D6"/>
    <w:rsid w:val="00B905DB"/>
    <w:rsid w:val="00B91C20"/>
    <w:rsid w:val="00BA0B9A"/>
    <w:rsid w:val="00BB2B39"/>
    <w:rsid w:val="00BB7A75"/>
    <w:rsid w:val="00BD7346"/>
    <w:rsid w:val="00BD7D77"/>
    <w:rsid w:val="00BE2C48"/>
    <w:rsid w:val="00C10F6C"/>
    <w:rsid w:val="00C11D1B"/>
    <w:rsid w:val="00C1629B"/>
    <w:rsid w:val="00C275EB"/>
    <w:rsid w:val="00C33573"/>
    <w:rsid w:val="00C33903"/>
    <w:rsid w:val="00C5555C"/>
    <w:rsid w:val="00C95E0C"/>
    <w:rsid w:val="00CA6124"/>
    <w:rsid w:val="00CA66C2"/>
    <w:rsid w:val="00CD36F8"/>
    <w:rsid w:val="00CE3B6A"/>
    <w:rsid w:val="00D070F5"/>
    <w:rsid w:val="00D10FE0"/>
    <w:rsid w:val="00D14474"/>
    <w:rsid w:val="00D14967"/>
    <w:rsid w:val="00D22500"/>
    <w:rsid w:val="00D544A2"/>
    <w:rsid w:val="00D800A8"/>
    <w:rsid w:val="00D963E8"/>
    <w:rsid w:val="00DA15F0"/>
    <w:rsid w:val="00DA56C5"/>
    <w:rsid w:val="00DF314A"/>
    <w:rsid w:val="00DF3D6D"/>
    <w:rsid w:val="00E11DA9"/>
    <w:rsid w:val="00E173E7"/>
    <w:rsid w:val="00E27F1F"/>
    <w:rsid w:val="00E45DA5"/>
    <w:rsid w:val="00E57ACD"/>
    <w:rsid w:val="00E60439"/>
    <w:rsid w:val="00E62D40"/>
    <w:rsid w:val="00E644B8"/>
    <w:rsid w:val="00E7149B"/>
    <w:rsid w:val="00E73DB5"/>
    <w:rsid w:val="00E778C5"/>
    <w:rsid w:val="00E834B4"/>
    <w:rsid w:val="00E940A9"/>
    <w:rsid w:val="00ED1CC1"/>
    <w:rsid w:val="00EE4F84"/>
    <w:rsid w:val="00F07068"/>
    <w:rsid w:val="00F078CD"/>
    <w:rsid w:val="00F12D59"/>
    <w:rsid w:val="00F14AA6"/>
    <w:rsid w:val="00F25AA1"/>
    <w:rsid w:val="00F35FC5"/>
    <w:rsid w:val="00F478CF"/>
    <w:rsid w:val="00F8142D"/>
    <w:rsid w:val="00FA10C9"/>
    <w:rsid w:val="00FB1E76"/>
    <w:rsid w:val="00FC0301"/>
    <w:rsid w:val="00FC2B03"/>
    <w:rsid w:val="00FD3B45"/>
    <w:rsid w:val="00FE09F5"/>
    <w:rsid w:val="00FF36BE"/>
    <w:rsid w:val="01946DAE"/>
    <w:rsid w:val="01BE66AD"/>
    <w:rsid w:val="01EF0487"/>
    <w:rsid w:val="026C230C"/>
    <w:rsid w:val="03E44C5C"/>
    <w:rsid w:val="061C5CDF"/>
    <w:rsid w:val="07BF0BDE"/>
    <w:rsid w:val="08267EB1"/>
    <w:rsid w:val="0A251C2E"/>
    <w:rsid w:val="0D473FBB"/>
    <w:rsid w:val="0E6B3679"/>
    <w:rsid w:val="0F0070C4"/>
    <w:rsid w:val="0F69767E"/>
    <w:rsid w:val="11B2058A"/>
    <w:rsid w:val="11D50099"/>
    <w:rsid w:val="13735953"/>
    <w:rsid w:val="13782954"/>
    <w:rsid w:val="13DC6CE6"/>
    <w:rsid w:val="146C3BD6"/>
    <w:rsid w:val="14F92037"/>
    <w:rsid w:val="15F80714"/>
    <w:rsid w:val="16CF5E02"/>
    <w:rsid w:val="17710DD8"/>
    <w:rsid w:val="17C66BC1"/>
    <w:rsid w:val="17C72A77"/>
    <w:rsid w:val="17E62887"/>
    <w:rsid w:val="199A6915"/>
    <w:rsid w:val="1A141FDC"/>
    <w:rsid w:val="1A4F51AF"/>
    <w:rsid w:val="1A7C2AA8"/>
    <w:rsid w:val="1B3D7FC8"/>
    <w:rsid w:val="1CE67440"/>
    <w:rsid w:val="1CFB74F6"/>
    <w:rsid w:val="1DAC326E"/>
    <w:rsid w:val="1E3225DB"/>
    <w:rsid w:val="1F533329"/>
    <w:rsid w:val="1FDB6658"/>
    <w:rsid w:val="1FE57CA3"/>
    <w:rsid w:val="220042CD"/>
    <w:rsid w:val="22DE42A9"/>
    <w:rsid w:val="23B223AA"/>
    <w:rsid w:val="24833F3D"/>
    <w:rsid w:val="26076B9E"/>
    <w:rsid w:val="263B74AD"/>
    <w:rsid w:val="2A09481D"/>
    <w:rsid w:val="2A465995"/>
    <w:rsid w:val="2B107879"/>
    <w:rsid w:val="2B1B128E"/>
    <w:rsid w:val="2CEC2B16"/>
    <w:rsid w:val="2E665806"/>
    <w:rsid w:val="30EE4CB8"/>
    <w:rsid w:val="339A1880"/>
    <w:rsid w:val="3554425A"/>
    <w:rsid w:val="37B47F85"/>
    <w:rsid w:val="39F95BB4"/>
    <w:rsid w:val="3A9F0C0C"/>
    <w:rsid w:val="3BE872F9"/>
    <w:rsid w:val="3CEC3227"/>
    <w:rsid w:val="3D0041BB"/>
    <w:rsid w:val="3DFE7301"/>
    <w:rsid w:val="3E135E86"/>
    <w:rsid w:val="3E157368"/>
    <w:rsid w:val="3ED426A0"/>
    <w:rsid w:val="3F1E71D0"/>
    <w:rsid w:val="42D23EE9"/>
    <w:rsid w:val="43587B62"/>
    <w:rsid w:val="438E2CA8"/>
    <w:rsid w:val="45C17A20"/>
    <w:rsid w:val="46567B83"/>
    <w:rsid w:val="47BD5273"/>
    <w:rsid w:val="48600357"/>
    <w:rsid w:val="48F76211"/>
    <w:rsid w:val="494868FE"/>
    <w:rsid w:val="4A2232C0"/>
    <w:rsid w:val="4A6E4941"/>
    <w:rsid w:val="4B0676CF"/>
    <w:rsid w:val="4B0A266B"/>
    <w:rsid w:val="4D657647"/>
    <w:rsid w:val="4DA414B1"/>
    <w:rsid w:val="4E193406"/>
    <w:rsid w:val="4FB87724"/>
    <w:rsid w:val="50665763"/>
    <w:rsid w:val="512070AE"/>
    <w:rsid w:val="527F16C6"/>
    <w:rsid w:val="5323091A"/>
    <w:rsid w:val="550A524D"/>
    <w:rsid w:val="570C57CD"/>
    <w:rsid w:val="5B085EB4"/>
    <w:rsid w:val="5D083785"/>
    <w:rsid w:val="5DD11FEC"/>
    <w:rsid w:val="5F8A68FE"/>
    <w:rsid w:val="5F8B64C9"/>
    <w:rsid w:val="60433D22"/>
    <w:rsid w:val="619D6426"/>
    <w:rsid w:val="62CB4E2A"/>
    <w:rsid w:val="64FC764A"/>
    <w:rsid w:val="661529FD"/>
    <w:rsid w:val="664F69F3"/>
    <w:rsid w:val="665E56CC"/>
    <w:rsid w:val="66605D6F"/>
    <w:rsid w:val="668D7C6D"/>
    <w:rsid w:val="66FC3437"/>
    <w:rsid w:val="681A473C"/>
    <w:rsid w:val="68EE64FF"/>
    <w:rsid w:val="6B856D4A"/>
    <w:rsid w:val="6F71742C"/>
    <w:rsid w:val="70BA6528"/>
    <w:rsid w:val="71A73618"/>
    <w:rsid w:val="73EC09DA"/>
    <w:rsid w:val="744321AE"/>
    <w:rsid w:val="74493FBE"/>
    <w:rsid w:val="76D740CE"/>
    <w:rsid w:val="7897258A"/>
    <w:rsid w:val="7ADC3085"/>
    <w:rsid w:val="7B713728"/>
    <w:rsid w:val="7BE043AD"/>
    <w:rsid w:val="7BEC1327"/>
    <w:rsid w:val="7D7B245A"/>
    <w:rsid w:val="7F04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qFormat="1" w:unhideWhenUsed="0" w:uiPriority="99" w:semiHidden="0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qFormat/>
    <w:uiPriority w:val="99"/>
    <w:pPr>
      <w:ind w:left="2520" w:leftChars="1200"/>
    </w:pPr>
  </w:style>
  <w:style w:type="paragraph" w:styleId="3">
    <w:name w:val="Normal Indent"/>
    <w:basedOn w:val="1"/>
    <w:next w:val="2"/>
    <w:semiHidden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annotation text"/>
    <w:basedOn w:val="1"/>
    <w:link w:val="21"/>
    <w:semiHidden/>
    <w:qFormat/>
    <w:uiPriority w:val="0"/>
    <w:pPr>
      <w:jc w:val="left"/>
    </w:pPr>
    <w:rPr>
      <w:rFonts w:ascii="Calibri" w:hAnsi="Calibri" w:eastAsia="宋体" w:cs="Times New Roman"/>
      <w:sz w:val="21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Plain Text"/>
    <w:basedOn w:val="1"/>
    <w:link w:val="22"/>
    <w:qFormat/>
    <w:uiPriority w:val="0"/>
    <w:rPr>
      <w:rFonts w:ascii="宋体" w:hAnsi="Courier New" w:eastAsia="宋体" w:cs="Courier New"/>
      <w:sz w:val="21"/>
      <w:szCs w:val="21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22"/>
    <w:rPr>
      <w:b/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字符"/>
    <w:basedOn w:val="13"/>
    <w:link w:val="7"/>
    <w:semiHidden/>
    <w:qFormat/>
    <w:uiPriority w:val="99"/>
  </w:style>
  <w:style w:type="paragraph" w:customStyle="1" w:styleId="19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character" w:customStyle="1" w:styleId="20">
    <w:name w:val="批注框文本 字符"/>
    <w:basedOn w:val="13"/>
    <w:link w:val="8"/>
    <w:semiHidden/>
    <w:qFormat/>
    <w:uiPriority w:val="99"/>
    <w:rPr>
      <w:sz w:val="18"/>
      <w:szCs w:val="18"/>
    </w:rPr>
  </w:style>
  <w:style w:type="character" w:customStyle="1" w:styleId="21">
    <w:name w:val="批注文字 字符"/>
    <w:basedOn w:val="13"/>
    <w:link w:val="4"/>
    <w:semiHidden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22">
    <w:name w:val="纯文本 字符"/>
    <w:basedOn w:val="13"/>
    <w:link w:val="6"/>
    <w:qFormat/>
    <w:uiPriority w:val="0"/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01FBE-1FBC-4DBF-8B6A-7C6BB5A642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3376</Words>
  <Characters>3408</Characters>
  <Lines>3</Lines>
  <Paragraphs>1</Paragraphs>
  <TotalTime>25</TotalTime>
  <ScaleCrop>false</ScaleCrop>
  <LinksUpToDate>false</LinksUpToDate>
  <CharactersWithSpaces>3412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2020-06-12T05:18:00Z</dcterms:created>
  <dc:creator>微软用户</dc:creator>
  <cp:lastModifiedBy>致命的流沙1390189494</cp:lastModifiedBy>
  <cp:lastPrinted>2023-02-28T05:24:00Z</cp:lastPrinted>
  <dcterms:modified xsi:type="dcterms:W3CDTF">2023-03-23T06:58:13Z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5672C35C5B044766B627AAD77A614572</vt:lpwstr>
  </property>
</Properties>
</file>