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滨湖区财政局2023年工作要点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eastAsia" w:asci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2023年，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区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财政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局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将深入贯彻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落实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党的二十大精神，围绕区委区政府打造“靓丽大湖湾、活力科创带”的总体要求，苦练内功，精进业务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进一步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提高政治站位，以更宽的视野，着眼全局、系统谋划，将全区财政各项综合改革扎实推进。秉承“勇挑大梁、敢扛重则”工作理念创造性“破题解题”，深入推进财政政策机制创新、财政支持方式创新以及财政管理模式创新。坚持底线思维，绷紧防范财政风险这根弦</w:t>
      </w:r>
      <w:r>
        <w:rPr>
          <w:rFonts w:hint="eastAsia" w:asci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切实扛起稳经济、促发展的财政担当。</w:t>
      </w:r>
      <w:r>
        <w:rPr>
          <w:rFonts w:hint="eastAsia" w:asci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现提出2023年财政工作要点：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一是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组织收入工作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方面：加强收入分析，深化协税护税，落实惠企政策。二是融资债务工作方面：大力推进隐性债务化解，全力管控全口径债务，全力抓好政府债券申报，全力推进多渠道筹资。三是资产管理工作方面：深入推进资产清查核实专项行动，全面启用国有资产监管系统，建立健全资产内控制度，深化全域国资国企改革。四是预算管理改革工作方面：深化预算管理制度改革，优化财政支出结构，提升基层财政管理水平。五是党建管理工作方面：持续强化政治理论武装，推动党建业务深度融合。</w:t>
      </w:r>
    </w:p>
    <w:p>
      <w:pPr>
        <w:rPr>
          <w:rFonts w:hint="default" w:asci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0Njk4NzdmOTAxNzU5NmJjNzAzMzAzMjc0NWY1NTUifQ=="/>
  </w:docVars>
  <w:rsids>
    <w:rsidRoot w:val="00000000"/>
    <w:rsid w:val="1A7D63C2"/>
    <w:rsid w:val="5AEB31E1"/>
    <w:rsid w:val="71AA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425</Words>
  <Characters>434</Characters>
  <Lines>0</Lines>
  <Paragraphs>0</Paragraphs>
  <TotalTime>2</TotalTime>
  <ScaleCrop>false</ScaleCrop>
  <LinksUpToDate>false</LinksUpToDate>
  <CharactersWithSpaces>434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2023-03-09T02:41:47Z</dcterms:created>
  <dc:creator>user</dc:creator>
  <cp:lastModifiedBy>金贝贝</cp:lastModifiedBy>
  <dcterms:modified xsi:type="dcterms:W3CDTF">2023-03-09T03:18:08Z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FE5E8160EEAF433CAF49FDAD6628A13F</vt:lpwstr>
  </property>
</Properties>
</file>