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2</w:t>
      </w:r>
    </w:p>
    <w:p>
      <w:pPr>
        <w:widowControl/>
        <w:jc w:val="center"/>
        <w:rPr>
          <w:rFonts w:hint="eastAsia" w:ascii="方正小标宋简体" w:hAnsi="宋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Times New Roman"/>
          <w:sz w:val="44"/>
          <w:szCs w:val="44"/>
        </w:rPr>
        <w:t>儿童失联父母查找情况回执单</w:t>
      </w:r>
    </w:p>
    <w:bookmarkEnd w:id="0"/>
    <w:p>
      <w:pPr>
        <w:widowControl/>
        <w:spacing w:line="560" w:lineRule="exact"/>
        <w:ind w:firstLine="5760" w:firstLineChars="1800"/>
        <w:jc w:val="left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编号：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      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宋体" w:eastAsia="仿宋_GB2312" w:cs="Times New Roman"/>
          <w:sz w:val="32"/>
          <w:szCs w:val="32"/>
        </w:rPr>
        <w:t>（相关当事人）：</w:t>
      </w:r>
    </w:p>
    <w:p>
      <w:pPr>
        <w:widowControl/>
        <w:spacing w:line="560" w:lineRule="exact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我单位于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z w:val="32"/>
          <w:szCs w:val="32"/>
        </w:rPr>
        <w:t>日接到儿童（姓名：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Times New Roman"/>
          <w:sz w:val="32"/>
          <w:szCs w:val="32"/>
        </w:rPr>
        <w:t>，身份证号：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宋体" w:eastAsia="仿宋_GB2312" w:cs="Times New Roman"/>
          <w:sz w:val="32"/>
          <w:szCs w:val="32"/>
        </w:rPr>
        <w:t>）关于查找其失联父（姓名：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Times New Roman"/>
          <w:sz w:val="32"/>
          <w:szCs w:val="32"/>
        </w:rPr>
        <w:t>，身份证号：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宋体" w:eastAsia="仿宋_GB2312" w:cs="Times New Roman"/>
          <w:sz w:val="32"/>
          <w:szCs w:val="32"/>
        </w:rPr>
        <w:t>）、母（姓名：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Times New Roman"/>
          <w:sz w:val="32"/>
          <w:szCs w:val="32"/>
        </w:rPr>
        <w:t>，身份证号：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宋体" w:eastAsia="仿宋_GB2312" w:cs="Times New Roman"/>
          <w:sz w:val="32"/>
          <w:szCs w:val="32"/>
        </w:rPr>
        <w:t>）情况报案后，依据民政部、公安部、财政部《关于进一步做好事实无人抚养儿童保障有关工作的通知》（民发</w:t>
      </w:r>
      <w:r>
        <w:rPr>
          <w:rFonts w:hint="eastAsia" w:ascii="仿宋_GB2312" w:hAnsi="仿宋" w:eastAsia="仿宋_GB2312" w:cs="Times New Roman"/>
          <w:sz w:val="32"/>
          <w:szCs w:val="32"/>
        </w:rPr>
        <w:t>〔2020〕125号</w:t>
      </w:r>
      <w:r>
        <w:rPr>
          <w:rFonts w:hint="eastAsia" w:ascii="仿宋_GB2312" w:hAnsi="宋体" w:eastAsia="仿宋_GB2312" w:cs="Times New Roman"/>
          <w:sz w:val="32"/>
          <w:szCs w:val="32"/>
        </w:rPr>
        <w:t>）规定及相关要求，经多方查找已满6个月，目前没有查找到其失联父/母。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联系人：                联系电话：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right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公安机关（公章）</w:t>
      </w:r>
    </w:p>
    <w:p>
      <w:pPr>
        <w:widowControl/>
        <w:spacing w:line="560" w:lineRule="exact"/>
        <w:ind w:firstLine="6240" w:firstLineChars="1950"/>
        <w:jc w:val="left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年   月   日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此单同时抄送儿童户籍所在地乡镇人民政府（街道办事处），仅用于办理事实无人抚养儿童认定。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备注：失联人员身份信息不全的，可在相关处填“不详”。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10304"/>
    <w:rsid w:val="6BD1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2021-11-02T02:45:00Z</dcterms:created>
  <dc:creator>某某</dc:creator>
  <cp:lastModifiedBy>某某</cp:lastModifiedBy>
  <dcterms:modified xsi:type="dcterms:W3CDTF">2021-11-02T02:46:13Z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4F78D2415EF546188FC54D1433CB9F9E</vt:lpwstr>
  </property>
</Properties>
</file>